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87874" w14:textId="36016792" w:rsidR="00934C49" w:rsidRPr="00C035BB" w:rsidRDefault="00934C49" w:rsidP="00934C49">
      <w:pPr>
        <w:spacing w:after="0"/>
        <w:contextualSpacing/>
        <w:outlineLvl w:val="0"/>
        <w:rPr>
          <w:rFonts w:ascii="Times New Roman" w:eastAsia="Times New Roman" w:hAnsi="Times New Roman"/>
          <w:b/>
          <w:iCs/>
        </w:rPr>
      </w:pPr>
      <w:r>
        <w:rPr>
          <w:rFonts w:ascii="Times New Roman" w:eastAsia="Times New Roman" w:hAnsi="Times New Roman"/>
          <w:b/>
          <w:iCs/>
        </w:rPr>
        <w:t xml:space="preserve">Appendix </w:t>
      </w:r>
      <w:r w:rsidR="008F3B0A">
        <w:rPr>
          <w:rFonts w:ascii="Times New Roman" w:eastAsia="Times New Roman" w:hAnsi="Times New Roman"/>
          <w:b/>
          <w:iCs/>
        </w:rPr>
        <w:t>F</w:t>
      </w:r>
      <w:r>
        <w:rPr>
          <w:rFonts w:ascii="Times New Roman" w:eastAsia="Times New Roman" w:hAnsi="Times New Roman"/>
          <w:b/>
          <w:iCs/>
        </w:rPr>
        <w:t xml:space="preserve">: </w:t>
      </w:r>
      <w:r w:rsidR="00FF66A2">
        <w:rPr>
          <w:rFonts w:ascii="Times New Roman" w:eastAsia="Times New Roman" w:hAnsi="Times New Roman"/>
          <w:b/>
          <w:iCs/>
        </w:rPr>
        <w:t>Calculation of Standard</w:t>
      </w:r>
      <w:r>
        <w:rPr>
          <w:rFonts w:ascii="Times New Roman" w:eastAsia="Times New Roman" w:hAnsi="Times New Roman"/>
          <w:b/>
          <w:iCs/>
        </w:rPr>
        <w:t xml:space="preserve"> Uncertainty</w:t>
      </w:r>
    </w:p>
    <w:p w14:paraId="0FD1DBB3" w14:textId="77777777" w:rsidR="00934C49" w:rsidRDefault="00934C49" w:rsidP="00934C49">
      <w:pPr>
        <w:spacing w:after="0"/>
        <w:contextualSpacing/>
        <w:outlineLvl w:val="0"/>
        <w:rPr>
          <w:rFonts w:ascii="Times New Roman" w:eastAsia="Times New Roman" w:hAnsi="Times New Roman"/>
          <w:i/>
          <w:iCs/>
        </w:rPr>
      </w:pPr>
    </w:p>
    <w:p w14:paraId="566FD3E3" w14:textId="4EDCDF94" w:rsidR="00070E6E" w:rsidRPr="00070E6E" w:rsidRDefault="00934C49" w:rsidP="00934C49">
      <w:pPr>
        <w:pStyle w:val="Caption"/>
        <w:keepNext/>
        <w:spacing w:after="0"/>
        <w:contextualSpacing/>
        <w:outlineLvl w:val="0"/>
        <w:rPr>
          <w:rFonts w:ascii="Times New Roman" w:eastAsia="Times New Roman" w:hAnsi="Times New Roman"/>
          <w:b w:val="0"/>
          <w:color w:val="auto"/>
          <w:sz w:val="24"/>
          <w:szCs w:val="24"/>
        </w:rPr>
      </w:pPr>
      <w:r w:rsidRPr="00B30656">
        <w:rPr>
          <w:rFonts w:ascii="Times New Roman" w:eastAsia="Times New Roman" w:hAnsi="Times New Roman"/>
          <w:b w:val="0"/>
          <w:color w:val="auto"/>
          <w:sz w:val="24"/>
          <w:szCs w:val="24"/>
        </w:rPr>
        <w:t xml:space="preserve">While it is </w:t>
      </w:r>
      <w:r>
        <w:rPr>
          <w:rFonts w:ascii="Times New Roman" w:eastAsia="Times New Roman" w:hAnsi="Times New Roman"/>
          <w:b w:val="0"/>
          <w:color w:val="auto"/>
          <w:sz w:val="24"/>
          <w:szCs w:val="24"/>
        </w:rPr>
        <w:t xml:space="preserve">necessary </w:t>
      </w:r>
      <w:r w:rsidRPr="00B30656">
        <w:rPr>
          <w:rFonts w:ascii="Times New Roman" w:eastAsia="Times New Roman" w:hAnsi="Times New Roman"/>
          <w:b w:val="0"/>
          <w:color w:val="auto"/>
          <w:sz w:val="24"/>
          <w:szCs w:val="24"/>
        </w:rPr>
        <w:t xml:space="preserve">to report all of the relevant information discussed in the </w:t>
      </w:r>
      <w:r>
        <w:rPr>
          <w:rFonts w:ascii="Times New Roman" w:eastAsia="Times New Roman" w:hAnsi="Times New Roman"/>
          <w:b w:val="0"/>
          <w:color w:val="auto"/>
          <w:sz w:val="24"/>
          <w:szCs w:val="24"/>
        </w:rPr>
        <w:t>text</w:t>
      </w:r>
      <w:r w:rsidRPr="00B30656">
        <w:rPr>
          <w:rFonts w:ascii="Times New Roman" w:eastAsia="Times New Roman" w:hAnsi="Times New Roman"/>
          <w:b w:val="0"/>
          <w:color w:val="auto"/>
          <w:sz w:val="24"/>
          <w:szCs w:val="24"/>
        </w:rPr>
        <w:t xml:space="preserve">, for the sake of convenience, </w:t>
      </w:r>
      <w:r>
        <w:rPr>
          <w:rFonts w:ascii="Times New Roman" w:eastAsia="Times New Roman" w:hAnsi="Times New Roman"/>
          <w:b w:val="0"/>
          <w:color w:val="auto"/>
          <w:sz w:val="24"/>
          <w:szCs w:val="24"/>
        </w:rPr>
        <w:t xml:space="preserve">here we present </w:t>
      </w:r>
      <w:r w:rsidRPr="00B30656">
        <w:rPr>
          <w:rFonts w:ascii="Times New Roman" w:eastAsia="Times New Roman" w:hAnsi="Times New Roman"/>
          <w:b w:val="0"/>
          <w:color w:val="auto"/>
          <w:sz w:val="24"/>
          <w:szCs w:val="24"/>
        </w:rPr>
        <w:t xml:space="preserve">a single metric </w:t>
      </w:r>
      <w:r>
        <w:rPr>
          <w:rFonts w:ascii="Times New Roman" w:eastAsia="Times New Roman" w:hAnsi="Times New Roman"/>
          <w:b w:val="0"/>
          <w:color w:val="auto"/>
          <w:sz w:val="24"/>
          <w:szCs w:val="24"/>
        </w:rPr>
        <w:t xml:space="preserve">for summarizing analytical uncertainty </w:t>
      </w:r>
      <w:r w:rsidRPr="00B30656">
        <w:rPr>
          <w:rFonts w:ascii="Times New Roman" w:eastAsia="Times New Roman" w:hAnsi="Times New Roman"/>
          <w:b w:val="0"/>
          <w:color w:val="auto"/>
          <w:sz w:val="24"/>
          <w:szCs w:val="24"/>
        </w:rPr>
        <w:t xml:space="preserve">that incorporates </w:t>
      </w:r>
      <w:r w:rsidRPr="00437ED1">
        <w:rPr>
          <w:rFonts w:ascii="Times New Roman" w:eastAsia="Times New Roman" w:hAnsi="Times New Roman"/>
          <w:b w:val="0"/>
          <w:color w:val="auto"/>
          <w:sz w:val="24"/>
          <w:szCs w:val="24"/>
        </w:rPr>
        <w:t xml:space="preserve">both accuracy (a good indicator of measurement bias or systematic error) and precision (a good indicator of random error in measurement). Through proper calibration, systematic errors leading to inaccurate results should be minimized, but it is likely that some small amount (&lt;0.1 ‰ deviation from the ‘true’ value as evaluated by analysis of check standards) will remain </w:t>
      </w:r>
      <w:r w:rsidRPr="00437ED1">
        <w:rPr>
          <w:rFonts w:ascii="Times New Roman" w:eastAsia="Times New Roman" w:hAnsi="Times New Roman"/>
          <w:b w:val="0"/>
          <w:color w:val="auto"/>
          <w:sz w:val="24"/>
          <w:szCs w:val="24"/>
        </w:rPr>
        <w:fldChar w:fldCharType="begin"/>
      </w:r>
      <w:r w:rsidRPr="00437ED1">
        <w:rPr>
          <w:rFonts w:ascii="Times New Roman" w:eastAsia="Times New Roman" w:hAnsi="Times New Roman"/>
          <w:b w:val="0"/>
          <w:color w:val="auto"/>
          <w:sz w:val="24"/>
          <w:szCs w:val="24"/>
        </w:rPr>
        <w:instrText xml:space="preserve"> ADDIN EN.CITE &lt;EndNote&gt;&lt;Cite&gt;&lt;Author&gt;Skrzypek&lt;/Author&gt;&lt;Year&gt;2013&lt;/Year&gt;&lt;RecNum&gt;16520&lt;/RecNum&gt;&lt;DisplayText&gt;(Skrzypek, 2013)&lt;/DisplayText&gt;&lt;record&gt;&lt;rec-number&gt;16520&lt;/rec-number&gt;&lt;foreign-keys&gt;&lt;key app="EN" db-id="arpwdfwtmws9seez5wep555b95tt22w522te" timestamp="1487986804"&gt;16520&lt;/key&gt;&lt;/foreign-keys&gt;&lt;ref-type name="Journal Article"&gt;17&lt;/ref-type&gt;&lt;contributors&gt;&lt;authors&gt;&lt;author&gt;Skrzypek, Grzegorz&lt;/author&gt;&lt;/authors&gt;&lt;/contributors&gt;&lt;titles&gt;&lt;title&gt;Normalization procedures and reference material selection in stable HCNOS isotope analyses: an overview&lt;/title&gt;&lt;secondary-title&gt;Analytical and Bioanalytical Chemistry&lt;/secondary-title&gt;&lt;/titles&gt;&lt;periodical&gt;&lt;full-title&gt;Analytical and Bioanalytical Chemistry&lt;/full-title&gt;&lt;abbr-1&gt;Anal. Bioanal. Chem.&lt;/abbr-1&gt;&lt;abbr-2&gt;Anal Bioanal Chem&lt;/abbr-2&gt;&lt;/periodical&gt;&lt;pages&gt;2815-2823&lt;/pages&gt;&lt;volume&gt;405&lt;/volume&gt;&lt;number&gt;9&lt;/number&gt;&lt;dates&gt;&lt;year&gt;2013&lt;/year&gt;&lt;pub-dates&gt;&lt;date&gt;2013//&lt;/date&gt;&lt;/pub-dates&gt;&lt;/dates&gt;&lt;isbn&gt;1618-2650&lt;/isbn&gt;&lt;urls&gt;&lt;related-urls&gt;&lt;url&gt;http://dx.doi.org/10.1007/s00216-012-6517-2&lt;/url&gt;&lt;/related-urls&gt;&lt;/urls&gt;&lt;electronic-resource-num&gt;10.1007/s00216-012-6517-2&lt;/electronic-resource-num&gt;&lt;/record&gt;&lt;/Cite&gt;&lt;/EndNote&gt;</w:instrText>
      </w:r>
      <w:r w:rsidRPr="00437ED1">
        <w:rPr>
          <w:rFonts w:ascii="Times New Roman" w:eastAsia="Times New Roman" w:hAnsi="Times New Roman"/>
          <w:b w:val="0"/>
          <w:color w:val="auto"/>
          <w:sz w:val="24"/>
          <w:szCs w:val="24"/>
        </w:rPr>
        <w:fldChar w:fldCharType="separate"/>
      </w:r>
      <w:r w:rsidRPr="00437ED1">
        <w:rPr>
          <w:rFonts w:ascii="Times New Roman" w:eastAsia="Times New Roman" w:hAnsi="Times New Roman"/>
          <w:b w:val="0"/>
          <w:noProof/>
          <w:color w:val="auto"/>
          <w:sz w:val="24"/>
          <w:szCs w:val="24"/>
        </w:rPr>
        <w:t>(Skrzypek, 2013)</w:t>
      </w:r>
      <w:r w:rsidRPr="00437ED1">
        <w:rPr>
          <w:rFonts w:ascii="Times New Roman" w:eastAsia="Times New Roman" w:hAnsi="Times New Roman"/>
          <w:b w:val="0"/>
          <w:color w:val="auto"/>
          <w:sz w:val="24"/>
          <w:szCs w:val="24"/>
        </w:rPr>
        <w:fldChar w:fldCharType="end"/>
      </w:r>
      <w:r w:rsidRPr="00437ED1">
        <w:rPr>
          <w:rFonts w:ascii="Times New Roman" w:eastAsia="Times New Roman" w:hAnsi="Times New Roman"/>
          <w:b w:val="0"/>
          <w:color w:val="auto"/>
          <w:sz w:val="24"/>
          <w:szCs w:val="24"/>
        </w:rPr>
        <w:t>. This metric is informed by the procedures for combining standa</w:t>
      </w:r>
      <w:bookmarkStart w:id="0" w:name="_GoBack"/>
      <w:bookmarkEnd w:id="0"/>
      <w:r w:rsidRPr="00437ED1">
        <w:rPr>
          <w:rFonts w:ascii="Times New Roman" w:eastAsia="Times New Roman" w:hAnsi="Times New Roman"/>
          <w:b w:val="0"/>
          <w:color w:val="auto"/>
          <w:sz w:val="24"/>
          <w:szCs w:val="24"/>
        </w:rPr>
        <w:t xml:space="preserve">rd </w:t>
      </w:r>
      <w:r w:rsidRPr="00E41F16">
        <w:rPr>
          <w:rFonts w:ascii="Times New Roman" w:eastAsia="Times New Roman" w:hAnsi="Times New Roman"/>
          <w:b w:val="0"/>
          <w:color w:val="auto"/>
          <w:sz w:val="24"/>
          <w:szCs w:val="24"/>
        </w:rPr>
        <w:t xml:space="preserve">uncertainties outlined by </w:t>
      </w:r>
      <w:r>
        <w:rPr>
          <w:rFonts w:ascii="Times New Roman" w:eastAsia="Times New Roman" w:hAnsi="Times New Roman"/>
          <w:b w:val="0"/>
          <w:color w:val="auto"/>
          <w:sz w:val="24"/>
          <w:szCs w:val="24"/>
        </w:rPr>
        <w:t xml:space="preserve">the Guide to the Expression of Uncertainty in </w:t>
      </w:r>
      <w:r w:rsidRPr="00357AC9">
        <w:rPr>
          <w:rFonts w:ascii="Times New Roman" w:eastAsia="Times New Roman" w:hAnsi="Times New Roman"/>
          <w:b w:val="0"/>
          <w:color w:val="auto"/>
          <w:sz w:val="24"/>
          <w:szCs w:val="24"/>
        </w:rPr>
        <w:t xml:space="preserve">Measurement (GUM) </w:t>
      </w:r>
      <w:r w:rsidRPr="00357AC9">
        <w:rPr>
          <w:rFonts w:ascii="Times New Roman" w:eastAsia="Times New Roman" w:hAnsi="Times New Roman"/>
          <w:b w:val="0"/>
          <w:color w:val="auto"/>
          <w:sz w:val="24"/>
          <w:szCs w:val="24"/>
        </w:rPr>
        <w:fldChar w:fldCharType="begin"/>
      </w:r>
      <w:r w:rsidRPr="00357AC9">
        <w:rPr>
          <w:rFonts w:ascii="Times New Roman" w:eastAsia="Times New Roman" w:hAnsi="Times New Roman"/>
          <w:b w:val="0"/>
          <w:color w:val="auto"/>
          <w:sz w:val="24"/>
          <w:szCs w:val="24"/>
        </w:rPr>
        <w:instrText xml:space="preserve"> ADDIN EN.CITE &lt;EndNote&gt;&lt;Cite&gt;&lt;Author&gt;Joint Committee for Guides in Metrology&lt;/Author&gt;&lt;Year&gt;2008&lt;/Year&gt;&lt;RecNum&gt;16538&lt;/RecNum&gt;&lt;DisplayText&gt;(Joint Committee for Guides in Metrology, 2008)&lt;/DisplayText&gt;&lt;record&gt;&lt;rec-number&gt;16538&lt;/rec-number&gt;&lt;foreign-keys&gt;&lt;key app="EN" db-id="arpwdfwtmws9seez5wep555b95tt22w522te" timestamp="1488900310"&gt;16538&lt;/key&gt;&lt;/foreign-keys&gt;&lt;ref-type name="Report"&gt;27&lt;/ref-type&gt;&lt;contributors&gt;&lt;authors&gt;&lt;author&gt;Joint Committee for Guides in Metrology,&lt;/author&gt;&lt;/authors&gt;&lt;/contributors&gt;&lt;titles&gt;&lt;title&gt;Evaluation of measurement data — Guide to the expression of uncertainty in measurement&lt;/title&gt;&lt;/titles&gt;&lt;number&gt;JCGM 100:2008&lt;/number&gt;&lt;dates&gt;&lt;year&gt;2008&lt;/year&gt;&lt;/dates&gt;&lt;pub-location&gt;Geneva&lt;/pub-location&gt;&lt;publisher&gt;International Organization for Standardization&lt;/publisher&gt;&lt;urls&gt;&lt;/urls&gt;&lt;/record&gt;&lt;/Cite&gt;&lt;/EndNote&gt;</w:instrText>
      </w:r>
      <w:r w:rsidRPr="00357AC9">
        <w:rPr>
          <w:rFonts w:ascii="Times New Roman" w:eastAsia="Times New Roman" w:hAnsi="Times New Roman"/>
          <w:b w:val="0"/>
          <w:color w:val="auto"/>
          <w:sz w:val="24"/>
          <w:szCs w:val="24"/>
        </w:rPr>
        <w:fldChar w:fldCharType="separate"/>
      </w:r>
      <w:r w:rsidRPr="00357AC9">
        <w:rPr>
          <w:rFonts w:ascii="Times New Roman" w:eastAsia="Times New Roman" w:hAnsi="Times New Roman"/>
          <w:b w:val="0"/>
          <w:noProof/>
          <w:color w:val="auto"/>
          <w:sz w:val="24"/>
          <w:szCs w:val="24"/>
        </w:rPr>
        <w:t>(Joint Committee for Guides in Metrology, 2008)</w:t>
      </w:r>
      <w:r w:rsidRPr="00357AC9">
        <w:rPr>
          <w:rFonts w:ascii="Times New Roman" w:eastAsia="Times New Roman" w:hAnsi="Times New Roman"/>
          <w:b w:val="0"/>
          <w:color w:val="auto"/>
          <w:sz w:val="24"/>
          <w:szCs w:val="24"/>
        </w:rPr>
        <w:fldChar w:fldCharType="end"/>
      </w:r>
      <w:r w:rsidRPr="00357AC9">
        <w:rPr>
          <w:rFonts w:ascii="Times New Roman" w:eastAsia="Times New Roman" w:hAnsi="Times New Roman"/>
          <w:b w:val="0"/>
          <w:color w:val="auto"/>
          <w:sz w:val="24"/>
          <w:szCs w:val="24"/>
        </w:rPr>
        <w:t xml:space="preserve"> and the </w:t>
      </w:r>
      <w:proofErr w:type="spellStart"/>
      <w:r w:rsidRPr="00357AC9">
        <w:rPr>
          <w:rFonts w:ascii="Times New Roman" w:eastAsia="Times New Roman" w:hAnsi="Times New Roman"/>
          <w:b w:val="0"/>
          <w:color w:val="auto"/>
          <w:sz w:val="24"/>
          <w:szCs w:val="24"/>
        </w:rPr>
        <w:t>Nordtest</w:t>
      </w:r>
      <w:proofErr w:type="spellEnd"/>
      <w:r w:rsidRPr="00357AC9">
        <w:rPr>
          <w:rFonts w:ascii="Times New Roman" w:eastAsia="Times New Roman" w:hAnsi="Times New Roman"/>
          <w:b w:val="0"/>
          <w:color w:val="auto"/>
          <w:sz w:val="24"/>
          <w:szCs w:val="24"/>
        </w:rPr>
        <w:t xml:space="preserve"> Handbook for Calculation of Measurement Uncertainty in Environmental </w:t>
      </w:r>
      <w:r w:rsidRPr="00F418EE">
        <w:rPr>
          <w:rFonts w:ascii="Times New Roman" w:eastAsia="Times New Roman" w:hAnsi="Times New Roman"/>
          <w:b w:val="0"/>
          <w:color w:val="auto"/>
          <w:sz w:val="24"/>
          <w:szCs w:val="24"/>
        </w:rPr>
        <w:t xml:space="preserve">Laboratories </w:t>
      </w:r>
      <w:r w:rsidRPr="00F418EE">
        <w:rPr>
          <w:rFonts w:ascii="Times New Roman" w:eastAsia="Times New Roman" w:hAnsi="Times New Roman"/>
          <w:b w:val="0"/>
          <w:color w:val="auto"/>
          <w:sz w:val="24"/>
          <w:szCs w:val="24"/>
        </w:rPr>
        <w:fldChar w:fldCharType="begin"/>
      </w:r>
      <w:r w:rsidRPr="00F418EE">
        <w:rPr>
          <w:rFonts w:ascii="Times New Roman" w:eastAsia="Times New Roman" w:hAnsi="Times New Roman"/>
          <w:b w:val="0"/>
          <w:color w:val="auto"/>
          <w:sz w:val="24"/>
          <w:szCs w:val="24"/>
        </w:rPr>
        <w:instrText xml:space="preserve"> ADDIN EN.CITE &lt;EndNote&gt;&lt;Cite&gt;&lt;Author&gt;Magnusson&lt;/Author&gt;&lt;Year&gt;2012&lt;/Year&gt;&lt;RecNum&gt;16542&lt;/RecNum&gt;&lt;DisplayText&gt;(Magnusson et al., 2012)&lt;/DisplayText&gt;&lt;record&gt;&lt;rec-number&gt;16542&lt;/rec-number&gt;&lt;foreign-keys&gt;&lt;key app="EN" db-id="arpwdfwtmws9seez5wep555b95tt22w522te" timestamp="1488995681"&gt;16542&lt;/key&gt;&lt;/foreign-keys&gt;&lt;ref-type name="Report"&gt;27&lt;/ref-type&gt;&lt;contributors&gt;&lt;authors&gt;&lt;author&gt;Bertil Magnusson&lt;/author&gt;&lt;author&gt;Teemu Näykki&lt;/author&gt;&lt;author&gt;Håvard Hovind&lt;/author&gt;&lt;author&gt;Mikael Krysell&lt;/author&gt;&lt;/authors&gt;&lt;/contributors&gt;&lt;titles&gt;&lt;title&gt;Handbook for Calculation of Measurement Uncertainty in Environmental Laboratories&lt;/title&gt;&lt;/titles&gt;&lt;dates&gt;&lt;year&gt;2012&lt;/year&gt;&lt;/dates&gt;&lt;publisher&gt;Nordtest Technical Report 537 ed. 3.1&lt;/publisher&gt;&lt;urls&gt;&lt;/urls&gt;&lt;/record&gt;&lt;/Cite&gt;&lt;/EndNote&gt;</w:instrText>
      </w:r>
      <w:r w:rsidRPr="00F418EE">
        <w:rPr>
          <w:rFonts w:ascii="Times New Roman" w:eastAsia="Times New Roman" w:hAnsi="Times New Roman"/>
          <w:b w:val="0"/>
          <w:color w:val="auto"/>
          <w:sz w:val="24"/>
          <w:szCs w:val="24"/>
        </w:rPr>
        <w:fldChar w:fldCharType="separate"/>
      </w:r>
      <w:r w:rsidRPr="00F418EE">
        <w:rPr>
          <w:rFonts w:ascii="Times New Roman" w:eastAsia="Times New Roman" w:hAnsi="Times New Roman"/>
          <w:b w:val="0"/>
          <w:noProof/>
          <w:color w:val="auto"/>
          <w:sz w:val="24"/>
          <w:szCs w:val="24"/>
        </w:rPr>
        <w:t>(Magnusson et al., 2012)</w:t>
      </w:r>
      <w:r w:rsidRPr="00F418EE">
        <w:rPr>
          <w:rFonts w:ascii="Times New Roman" w:eastAsia="Times New Roman" w:hAnsi="Times New Roman"/>
          <w:b w:val="0"/>
          <w:color w:val="auto"/>
          <w:sz w:val="24"/>
          <w:szCs w:val="24"/>
        </w:rPr>
        <w:fldChar w:fldCharType="end"/>
      </w:r>
      <w:r w:rsidR="00070E6E">
        <w:rPr>
          <w:rFonts w:ascii="Times New Roman" w:eastAsia="Times New Roman" w:hAnsi="Times New Roman"/>
          <w:b w:val="0"/>
          <w:color w:val="auto"/>
          <w:sz w:val="24"/>
          <w:szCs w:val="24"/>
        </w:rPr>
        <w:t>.</w:t>
      </w:r>
      <w:r w:rsidRPr="00F418EE">
        <w:rPr>
          <w:rFonts w:ascii="Times New Roman" w:eastAsia="Times New Roman" w:hAnsi="Times New Roman"/>
          <w:b w:val="0"/>
          <w:color w:val="auto"/>
          <w:sz w:val="24"/>
          <w:szCs w:val="24"/>
        </w:rPr>
        <w:t xml:space="preserve"> </w:t>
      </w:r>
      <w:r w:rsidR="00070E6E">
        <w:rPr>
          <w:rFonts w:ascii="Times New Roman" w:eastAsia="Times New Roman" w:hAnsi="Times New Roman"/>
          <w:b w:val="0"/>
          <w:color w:val="auto"/>
          <w:sz w:val="24"/>
          <w:szCs w:val="24"/>
        </w:rPr>
        <w:t>T</w:t>
      </w:r>
      <w:r w:rsidRPr="00F418EE">
        <w:rPr>
          <w:rFonts w:ascii="Times New Roman" w:eastAsia="Times New Roman" w:hAnsi="Times New Roman"/>
          <w:b w:val="0"/>
          <w:color w:val="auto"/>
          <w:sz w:val="24"/>
          <w:szCs w:val="24"/>
        </w:rPr>
        <w:t xml:space="preserve">he latter of </w:t>
      </w:r>
      <w:r w:rsidR="00070E6E">
        <w:rPr>
          <w:rFonts w:ascii="Times New Roman" w:eastAsia="Times New Roman" w:hAnsi="Times New Roman"/>
          <w:b w:val="0"/>
          <w:color w:val="auto"/>
          <w:sz w:val="24"/>
          <w:szCs w:val="24"/>
        </w:rPr>
        <w:t>these two</w:t>
      </w:r>
      <w:r w:rsidRPr="00F418EE">
        <w:rPr>
          <w:rFonts w:ascii="Times New Roman" w:eastAsia="Times New Roman" w:hAnsi="Times New Roman"/>
          <w:b w:val="0"/>
          <w:color w:val="auto"/>
          <w:sz w:val="24"/>
          <w:szCs w:val="24"/>
        </w:rPr>
        <w:t xml:space="preserve"> presents a more accessible and reasonable means of assessing uncertainty than the component-by-component procedure outlined by the GUM, particularly for those not involved in instrument operation and primary data acquisition.</w:t>
      </w:r>
      <w:r w:rsidRPr="00F418EE">
        <w:rPr>
          <w:rFonts w:ascii="Times New Roman" w:eastAsia="Times New Roman" w:hAnsi="Times New Roman"/>
          <w:color w:val="auto"/>
          <w:sz w:val="24"/>
          <w:szCs w:val="24"/>
        </w:rPr>
        <w:t xml:space="preserve"> </w:t>
      </w:r>
      <w:r w:rsidRPr="00F418EE">
        <w:rPr>
          <w:rFonts w:ascii="Times New Roman" w:eastAsia="Times New Roman" w:hAnsi="Times New Roman"/>
          <w:b w:val="0"/>
          <w:color w:val="auto"/>
          <w:sz w:val="24"/>
          <w:szCs w:val="24"/>
        </w:rPr>
        <w:t xml:space="preserve">The overall analytical uncertainty consists of a number of different components and as a standard practice, when these components are combined, this process involves taking the root-sum-square of those components </w:t>
      </w:r>
      <w:r w:rsidRPr="00F418EE">
        <w:rPr>
          <w:rFonts w:ascii="Times New Roman" w:eastAsia="Times New Roman" w:hAnsi="Times New Roman"/>
          <w:b w:val="0"/>
          <w:color w:val="auto"/>
          <w:sz w:val="24"/>
          <w:szCs w:val="24"/>
        </w:rPr>
        <w:fldChar w:fldCharType="begin"/>
      </w:r>
      <w:r w:rsidRPr="00F418EE">
        <w:rPr>
          <w:rFonts w:ascii="Times New Roman" w:eastAsia="Times New Roman" w:hAnsi="Times New Roman"/>
          <w:b w:val="0"/>
          <w:color w:val="auto"/>
          <w:sz w:val="24"/>
          <w:szCs w:val="24"/>
        </w:rPr>
        <w:instrText xml:space="preserve"> ADDIN EN.CITE &lt;EndNote&gt;&lt;Cite&gt;&lt;Author&gt;Joint Committee for Guides in Metrology&lt;/Author&gt;&lt;Year&gt;2008&lt;/Year&gt;&lt;RecNum&gt;16538&lt;/RecNum&gt;&lt;DisplayText&gt;(Joint Committee for Guides in Metrology, 2008)&lt;/DisplayText&gt;&lt;record&gt;&lt;rec-number&gt;16538&lt;/rec-number&gt;&lt;foreign-keys&gt;&lt;key app="EN" db-id="arpwdfwtmws9seez5wep555b95tt22w522te" timestamp="1488900310"&gt;16538&lt;/key&gt;&lt;/foreign-keys&gt;&lt;ref-type name="Report"&gt;27&lt;/ref-type&gt;&lt;contributors&gt;&lt;authors&gt;&lt;author&gt;Joint Committee for Guides in Metrology,&lt;/author&gt;&lt;/authors&gt;&lt;/contributors&gt;&lt;titles&gt;&lt;title&gt;Evaluation of measurement data — Guide to the expression of uncertainty in measurement&lt;/title&gt;&lt;/titles&gt;&lt;number&gt;JCGM 100:2008&lt;/number&gt;&lt;dates&gt;&lt;year&gt;2008&lt;/year&gt;&lt;/dates&gt;&lt;pub-location&gt;Geneva&lt;/pub-location&gt;&lt;publisher&gt;International Organization for Standardization&lt;/publisher&gt;&lt;urls&gt;&lt;/urls&gt;&lt;/record&gt;&lt;/Cite&gt;&lt;/EndNote&gt;</w:instrText>
      </w:r>
      <w:r w:rsidRPr="00F418EE">
        <w:rPr>
          <w:rFonts w:ascii="Times New Roman" w:eastAsia="Times New Roman" w:hAnsi="Times New Roman"/>
          <w:b w:val="0"/>
          <w:color w:val="auto"/>
          <w:sz w:val="24"/>
          <w:szCs w:val="24"/>
        </w:rPr>
        <w:fldChar w:fldCharType="separate"/>
      </w:r>
      <w:r w:rsidRPr="00F418EE">
        <w:rPr>
          <w:rFonts w:ascii="Times New Roman" w:eastAsia="Times New Roman" w:hAnsi="Times New Roman"/>
          <w:b w:val="0"/>
          <w:noProof/>
          <w:color w:val="auto"/>
          <w:sz w:val="24"/>
          <w:szCs w:val="24"/>
        </w:rPr>
        <w:t>(Joint Committee for Guides in Metrology, 2008)</w:t>
      </w:r>
      <w:r w:rsidRPr="00F418EE">
        <w:rPr>
          <w:rFonts w:ascii="Times New Roman" w:eastAsia="Times New Roman" w:hAnsi="Times New Roman"/>
          <w:b w:val="0"/>
          <w:color w:val="auto"/>
          <w:sz w:val="24"/>
          <w:szCs w:val="24"/>
        </w:rPr>
        <w:fldChar w:fldCharType="end"/>
      </w:r>
      <w:r w:rsidRPr="00F418EE">
        <w:rPr>
          <w:rFonts w:ascii="Times New Roman" w:eastAsia="Times New Roman" w:hAnsi="Times New Roman"/>
          <w:b w:val="0"/>
          <w:color w:val="auto"/>
          <w:sz w:val="24"/>
          <w:szCs w:val="24"/>
        </w:rPr>
        <w:t>.</w:t>
      </w:r>
      <w:r w:rsidRPr="00F418EE">
        <w:rPr>
          <w:rFonts w:ascii="Times New Roman" w:eastAsia="Times New Roman" w:hAnsi="Times New Roman"/>
          <w:color w:val="auto"/>
          <w:sz w:val="24"/>
          <w:szCs w:val="24"/>
        </w:rPr>
        <w:t xml:space="preserve"> </w:t>
      </w:r>
    </w:p>
    <w:p w14:paraId="48AF9E21" w14:textId="77777777" w:rsidR="00070E6E" w:rsidRDefault="00070E6E" w:rsidP="00934C49">
      <w:pPr>
        <w:pStyle w:val="Caption"/>
        <w:keepNext/>
        <w:spacing w:after="0"/>
        <w:contextualSpacing/>
        <w:outlineLvl w:val="0"/>
        <w:rPr>
          <w:rFonts w:ascii="Times New Roman" w:eastAsia="Times New Roman" w:hAnsi="Times New Roman"/>
          <w:color w:val="auto"/>
          <w:sz w:val="24"/>
          <w:szCs w:val="24"/>
        </w:rPr>
      </w:pPr>
    </w:p>
    <w:p w14:paraId="00E6288A" w14:textId="1B207EDD" w:rsidR="00934C49" w:rsidRPr="00F418EE" w:rsidRDefault="00934C49" w:rsidP="00934C49">
      <w:pPr>
        <w:pStyle w:val="Caption"/>
        <w:keepNext/>
        <w:spacing w:after="0"/>
        <w:contextualSpacing/>
        <w:outlineLvl w:val="0"/>
        <w:rPr>
          <w:rFonts w:ascii="Times New Roman" w:hAnsi="Times New Roman"/>
          <w:color w:val="auto"/>
          <w:sz w:val="24"/>
          <w:szCs w:val="24"/>
        </w:rPr>
      </w:pPr>
      <w:r w:rsidRPr="00F418EE">
        <w:rPr>
          <w:rFonts w:ascii="Times New Roman" w:eastAsia="Times New Roman" w:hAnsi="Times New Roman"/>
          <w:b w:val="0"/>
          <w:color w:val="auto"/>
          <w:sz w:val="24"/>
          <w:szCs w:val="24"/>
        </w:rPr>
        <w:t>The standard uncertainty of a sample (</w:t>
      </w:r>
      <w:proofErr w:type="spellStart"/>
      <w:r w:rsidRPr="00F418EE">
        <w:rPr>
          <w:rFonts w:ascii="Times New Roman" w:eastAsia="Times New Roman" w:hAnsi="Times New Roman"/>
          <w:b w:val="0"/>
          <w:i/>
          <w:iCs/>
          <w:color w:val="auto"/>
          <w:sz w:val="24"/>
          <w:szCs w:val="24"/>
        </w:rPr>
        <w:t>u</w:t>
      </w:r>
      <w:r w:rsidRPr="00F418EE">
        <w:rPr>
          <w:rFonts w:ascii="Times New Roman" w:eastAsia="Times New Roman" w:hAnsi="Times New Roman"/>
          <w:b w:val="0"/>
          <w:i/>
          <w:iCs/>
          <w:color w:val="auto"/>
          <w:sz w:val="24"/>
          <w:szCs w:val="24"/>
          <w:vertAlign w:val="subscript"/>
        </w:rPr>
        <w:t>c</w:t>
      </w:r>
      <w:proofErr w:type="spellEnd"/>
      <w:r w:rsidRPr="00F418EE">
        <w:rPr>
          <w:rFonts w:ascii="Times New Roman" w:eastAsia="Times New Roman" w:hAnsi="Times New Roman"/>
          <w:b w:val="0"/>
          <w:color w:val="auto"/>
          <w:sz w:val="24"/>
          <w:szCs w:val="24"/>
        </w:rPr>
        <w:t>) is defined by Equation 1:</w:t>
      </w:r>
    </w:p>
    <w:p w14:paraId="18ADE6B0" w14:textId="77777777" w:rsidR="00934C49" w:rsidRPr="00437ED1" w:rsidRDefault="00934C49" w:rsidP="00934C49">
      <w:pPr>
        <w:pStyle w:val="Caption"/>
        <w:keepNext/>
        <w:spacing w:after="0"/>
        <w:contextualSpacing/>
        <w:outlineLvl w:val="0"/>
        <w:rPr>
          <w:rFonts w:ascii="Times New Roman" w:hAnsi="Times New Roman"/>
          <w:color w:val="auto"/>
          <w:sz w:val="24"/>
          <w:szCs w:val="24"/>
        </w:rPr>
      </w:pPr>
      <w:bookmarkStart w:id="1" w:name="_Ref310381943"/>
    </w:p>
    <w:p w14:paraId="6277BC63" w14:textId="77777777" w:rsidR="00934C49" w:rsidRPr="00B30656" w:rsidRDefault="00934C49" w:rsidP="00934C49">
      <w:pPr>
        <w:pStyle w:val="Caption"/>
        <w:keepNext/>
        <w:spacing w:after="0"/>
        <w:contextualSpacing/>
        <w:outlineLvl w:val="0"/>
        <w:rPr>
          <w:rFonts w:ascii="Times New Roman" w:hAnsi="Times New Roman"/>
          <w:color w:val="auto"/>
          <w:sz w:val="24"/>
          <w:szCs w:val="24"/>
        </w:rPr>
      </w:pPr>
      <w:r w:rsidRPr="00B30656">
        <w:rPr>
          <w:rFonts w:ascii="Times New Roman" w:eastAsia="Times New Roman" w:hAnsi="Times New Roman"/>
          <w:color w:val="auto"/>
          <w:sz w:val="24"/>
          <w:szCs w:val="24"/>
        </w:rPr>
        <w:t xml:space="preserve">Equation </w:t>
      </w:r>
      <w:bookmarkEnd w:id="1"/>
      <w:r>
        <w:rPr>
          <w:rFonts w:ascii="Times New Roman" w:eastAsia="Times New Roman" w:hAnsi="Times New Roman"/>
          <w:color w:val="auto"/>
          <w:sz w:val="24"/>
          <w:szCs w:val="24"/>
        </w:rPr>
        <w:t>1</w:t>
      </w:r>
    </w:p>
    <w:p w14:paraId="26830E20" w14:textId="77777777" w:rsidR="00934C49" w:rsidRPr="00B30656" w:rsidRDefault="00F60343" w:rsidP="00934C49">
      <w:pPr>
        <w:spacing w:after="0"/>
        <w:contextualSpacing/>
        <w:rPr>
          <w:rFonts w:ascii="Times New Roman" w:hAnsi="Times New Roman"/>
        </w:rPr>
      </w:pPr>
      <m:oMathPara>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w</m:t>
                          </m:r>
                        </m:sub>
                      </m:sSub>
                    </m:e>
                  </m:d>
                </m:e>
                <m:sup>
                  <m:r>
                    <w:rPr>
                      <w:rFonts w:ascii="Cambria Math" w:hAnsi="Cambria Math"/>
                    </w:rPr>
                    <m:t>2</m:t>
                  </m:r>
                </m:sup>
              </m:sSup>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w:rPr>
                          <w:rFonts w:ascii="Cambria Math" w:hAnsi="Cambria Math"/>
                        </w:rPr>
                        <m:t>u(bias)</m:t>
                      </m:r>
                    </m:e>
                  </m:d>
                </m:e>
                <m:sup>
                  <m:r>
                    <w:rPr>
                      <w:rFonts w:ascii="Cambria Math" w:hAnsi="Cambria Math"/>
                    </w:rPr>
                    <m:t>2</m:t>
                  </m:r>
                </m:sup>
              </m:sSup>
              <m:r>
                <w:rPr>
                  <w:rFonts w:ascii="Cambria Math" w:hAnsi="Cambria Math"/>
                </w:rPr>
                <m:t xml:space="preserve"> </m:t>
              </m:r>
            </m:e>
          </m:rad>
        </m:oMath>
      </m:oMathPara>
    </w:p>
    <w:p w14:paraId="0CC1AFDB" w14:textId="77777777" w:rsidR="00934C49" w:rsidRPr="00B30656" w:rsidRDefault="00934C49" w:rsidP="00934C49">
      <w:pPr>
        <w:spacing w:after="0"/>
        <w:contextualSpacing/>
        <w:rPr>
          <w:rFonts w:ascii="Times New Roman" w:hAnsi="Times New Roman"/>
        </w:rPr>
      </w:pPr>
    </w:p>
    <w:p w14:paraId="7D8409F2" w14:textId="0778CD90" w:rsidR="00934C49" w:rsidRPr="00B30656" w:rsidRDefault="00934C49" w:rsidP="00934C49">
      <w:pPr>
        <w:spacing w:after="0"/>
        <w:contextualSpacing/>
        <w:rPr>
          <w:rFonts w:ascii="Times New Roman" w:hAnsi="Times New Roman"/>
        </w:rPr>
      </w:pPr>
      <w:r>
        <w:rPr>
          <w:rFonts w:ascii="Times New Roman" w:eastAsia="Times New Roman" w:hAnsi="Times New Roman"/>
        </w:rPr>
        <w:t xml:space="preserve">The first term of Equation 1, </w:t>
      </w:r>
      <w:r w:rsidRPr="00407A78">
        <w:rPr>
          <w:rFonts w:ascii="Times New Roman" w:eastAsia="Times New Roman" w:hAnsi="Times New Roman"/>
          <w:i/>
        </w:rPr>
        <w:t>u(</w:t>
      </w:r>
      <w:proofErr w:type="spellStart"/>
      <w:r w:rsidRPr="00407A78">
        <w:rPr>
          <w:rFonts w:ascii="Times New Roman" w:eastAsia="Times New Roman" w:hAnsi="Times New Roman"/>
          <w:i/>
        </w:rPr>
        <w:t>R</w:t>
      </w:r>
      <w:r w:rsidRPr="00407A78">
        <w:rPr>
          <w:rFonts w:ascii="Times New Roman" w:eastAsia="Times New Roman" w:hAnsi="Times New Roman"/>
          <w:i/>
          <w:vertAlign w:val="subscript"/>
        </w:rPr>
        <w:t>w</w:t>
      </w:r>
      <w:proofErr w:type="spellEnd"/>
      <w:r w:rsidRPr="00407A78">
        <w:rPr>
          <w:rFonts w:ascii="Times New Roman" w:eastAsia="Times New Roman" w:hAnsi="Times New Roman"/>
          <w:i/>
        </w:rPr>
        <w:t>)</w:t>
      </w:r>
      <w:r>
        <w:rPr>
          <w:rFonts w:ascii="Times New Roman" w:eastAsia="Times New Roman" w:hAnsi="Times New Roman"/>
        </w:rPr>
        <w:t xml:space="preserve">, is associated with random errors within the laboratory and is equated, in terms </w:t>
      </w:r>
      <w:r w:rsidRPr="00357AC9">
        <w:rPr>
          <w:rFonts w:ascii="Times New Roman" w:eastAsia="Times New Roman" w:hAnsi="Times New Roman"/>
        </w:rPr>
        <w:t xml:space="preserve">of performance characteristics, with measurements of precision </w:t>
      </w:r>
      <w:r w:rsidRPr="00357AC9">
        <w:rPr>
          <w:rFonts w:ascii="Times New Roman" w:eastAsia="Times New Roman" w:hAnsi="Times New Roman"/>
        </w:rPr>
        <w:fldChar w:fldCharType="begin"/>
      </w:r>
      <w:r w:rsidRPr="00357AC9">
        <w:rPr>
          <w:rFonts w:ascii="Times New Roman" w:eastAsia="Times New Roman" w:hAnsi="Times New Roman"/>
        </w:rPr>
        <w:instrText xml:space="preserve"> ADDIN EN.CITE &lt;EndNote&gt;&lt;Cite&gt;&lt;Author&gt;Menditto&lt;/Author&gt;&lt;Year&gt;2007&lt;/Year&gt;&lt;RecNum&gt;16541&lt;/RecNum&gt;&lt;DisplayText&gt;(Menditto et al., 2007)&lt;/DisplayText&gt;&lt;record&gt;&lt;rec-number&gt;16541&lt;/rec-number&gt;&lt;foreign-keys&gt;&lt;key app="EN" db-id="arpwdfwtmws9seez5wep555b95tt22w522te" timestamp="1488980955"&gt;16541&lt;/key&gt;&lt;/foreign-keys&gt;&lt;ref-type name="Journal Article"&gt;17&lt;/ref-type&gt;&lt;contributors&gt;&lt;authors&gt;&lt;author&gt;Menditto, Antonio&lt;/author&gt;&lt;author&gt;Patriarca, Marina&lt;/author&gt;&lt;author&gt;Magnusson, Bertil&lt;/author&gt;&lt;/authors&gt;&lt;/contributors&gt;&lt;titles&gt;&lt;title&gt;Understanding the meaning of accuracy, trueness and precision&lt;/title&gt;&lt;secondary-title&gt;Accreditation and Quality Assurance&lt;/secondary-title&gt;&lt;/titles&gt;&lt;periodical&gt;&lt;full-title&gt;Accreditation and Quality Assurance&lt;/full-title&gt;&lt;abbr-1&gt;Accred Qual Assur&lt;/abbr-1&gt;&lt;/periodical&gt;&lt;pages&gt;45-47&lt;/pages&gt;&lt;volume&gt;12&lt;/volume&gt;&lt;number&gt;1&lt;/number&gt;&lt;dates&gt;&lt;year&gt;2007&lt;/year&gt;&lt;pub-dates&gt;&lt;date&gt;2007//&lt;/date&gt;&lt;/pub-dates&gt;&lt;/dates&gt;&lt;isbn&gt;1432-0517&lt;/isbn&gt;&lt;urls&gt;&lt;related-urls&gt;&lt;url&gt;http://dx.doi.org/10.1007/s00769-006-0191-z&lt;/url&gt;&lt;/related-urls&gt;&lt;/urls&gt;&lt;electronic-resource-num&gt;10.1007/s00769-006-0191-z&lt;/electronic-resource-num&gt;&lt;/record&gt;&lt;/Cite&gt;&lt;/EndNote&gt;</w:instrText>
      </w:r>
      <w:r w:rsidRPr="00357AC9">
        <w:rPr>
          <w:rFonts w:ascii="Times New Roman" w:eastAsia="Times New Roman" w:hAnsi="Times New Roman"/>
        </w:rPr>
        <w:fldChar w:fldCharType="separate"/>
      </w:r>
      <w:r w:rsidRPr="00357AC9">
        <w:rPr>
          <w:rFonts w:ascii="Times New Roman" w:eastAsia="Times New Roman" w:hAnsi="Times New Roman"/>
          <w:noProof/>
        </w:rPr>
        <w:t>(Menditto et al., 2007)</w:t>
      </w:r>
      <w:r w:rsidRPr="00357AC9">
        <w:rPr>
          <w:rFonts w:ascii="Times New Roman" w:eastAsia="Times New Roman" w:hAnsi="Times New Roman"/>
        </w:rPr>
        <w:fldChar w:fldCharType="end"/>
      </w:r>
      <w:r w:rsidRPr="00357AC9">
        <w:rPr>
          <w:rFonts w:ascii="Times New Roman" w:eastAsia="Times New Roman" w:hAnsi="Times New Roman"/>
        </w:rPr>
        <w:t xml:space="preserve"> or repeatability as described in the text </w:t>
      </w:r>
      <w:r w:rsidRPr="00357AC9">
        <w:rPr>
          <w:rFonts w:ascii="Times New Roman" w:eastAsia="Times New Roman" w:hAnsi="Times New Roman"/>
        </w:rPr>
        <w:fldChar w:fldCharType="begin"/>
      </w:r>
      <w:r w:rsidRPr="00357AC9">
        <w:rPr>
          <w:rFonts w:ascii="Times New Roman" w:eastAsia="Times New Roman" w:hAnsi="Times New Roman"/>
        </w:rPr>
        <w:instrText xml:space="preserve"> ADDIN EN.CITE &lt;EndNote&gt;&lt;Cite&gt;&lt;Author&gt;Carter&lt;/Author&gt;&lt;Year&gt;2013&lt;/Year&gt;&lt;RecNum&gt;14860&lt;/RecNum&gt;&lt;Prefix&gt;following &lt;/Prefix&gt;&lt;DisplayText&gt;(following Carter and Fry, 2013)&lt;/DisplayText&gt;&lt;record&gt;&lt;rec-number&gt;14860&lt;/rec-number&gt;&lt;foreign-keys&gt;&lt;key app="EN" db-id="arpwdfwtmws9seez5wep555b95tt22w522te" timestamp="1426259113"&gt;14860&lt;/key&gt;&lt;/foreign-keys&gt;&lt;ref-type name="Journal Article"&gt;17&lt;/ref-type&gt;&lt;contributors&gt;&lt;authors&gt;&lt;author&gt;Carter, J. F.&lt;/author&gt;&lt;author&gt;Fry, B.&lt;/author&gt;&lt;/authors&gt;&lt;/contributors&gt;&lt;titles&gt;&lt;title&gt;Ensuring the reliability of stable isotope ratio data—beyond the principle of identical treatment&lt;/title&gt;&lt;secondary-title&gt;Analytical and Bioanalytical Chemistry&lt;/secondary-title&gt;&lt;alt-title&gt;Anal Bioanal Chem&lt;/alt-title&gt;&lt;/titles&gt;&lt;periodical&gt;&lt;full-title&gt;Analytical and Bioanalytical Chemistry&lt;/full-title&gt;&lt;abbr-1&gt;Anal. Bioanal. Chem.&lt;/abbr-1&gt;&lt;abbr-2&gt;Anal Bioanal Chem&lt;/abbr-2&gt;&lt;/periodical&gt;&lt;alt-periodical&gt;&lt;full-title&gt;Analytical and Bioanalytical Chemistry&lt;/full-title&gt;&lt;abbr-1&gt;Anal. Bioanal. Chem.&lt;/abbr-1&gt;&lt;abbr-2&gt;Anal Bioanal Chem&lt;/abbr-2&gt;&lt;/alt-periodical&gt;&lt;pages&gt;2799-2814&lt;/pages&gt;&lt;volume&gt;405&lt;/volume&gt;&lt;number&gt;9&lt;/number&gt;&lt;keywords&gt;&lt;keyword&gt;Stable isotope ratio measurements&lt;/keyword&gt;&lt;keyword&gt;Isotope-ratio mass spectrometry&lt;/keyword&gt;&lt;keyword&gt;Reference materials&lt;/keyword&gt;&lt;keyword&gt;Principle of identical treatment&lt;/keyword&gt;&lt;keyword&gt;Quality assurance&lt;/keyword&gt;&lt;keyword&gt;Quality control&lt;/keyword&gt;&lt;/keywords&gt;&lt;dates&gt;&lt;year&gt;2013&lt;/year&gt;&lt;pub-dates&gt;&lt;date&gt;2013/03/01&lt;/date&gt;&lt;/pub-dates&gt;&lt;/dates&gt;&lt;publisher&gt;Springer-Verlag&lt;/publisher&gt;&lt;isbn&gt;1618-2642&lt;/isbn&gt;&lt;urls&gt;&lt;related-urls&gt;&lt;url&gt;http://dx.doi.org/10.1007/s00216-012-6551-0&lt;/url&gt;&lt;/related-urls&gt;&lt;/urls&gt;&lt;electronic-resource-num&gt;10.1007/s00216-012-6551-0&lt;/electronic-resource-num&gt;&lt;language&gt;English&lt;/language&gt;&lt;/record&gt;&lt;/Cite&gt;&lt;/EndNote&gt;</w:instrText>
      </w:r>
      <w:r w:rsidRPr="00357AC9">
        <w:rPr>
          <w:rFonts w:ascii="Times New Roman" w:eastAsia="Times New Roman" w:hAnsi="Times New Roman"/>
        </w:rPr>
        <w:fldChar w:fldCharType="separate"/>
      </w:r>
      <w:r w:rsidRPr="00357AC9">
        <w:rPr>
          <w:rFonts w:ascii="Times New Roman" w:eastAsia="Times New Roman" w:hAnsi="Times New Roman"/>
          <w:noProof/>
        </w:rPr>
        <w:t>(following Carter and Fry, 2013)</w:t>
      </w:r>
      <w:r w:rsidRPr="00357AC9">
        <w:rPr>
          <w:rFonts w:ascii="Times New Roman" w:eastAsia="Times New Roman" w:hAnsi="Times New Roman"/>
        </w:rPr>
        <w:fldChar w:fldCharType="end"/>
      </w:r>
      <w:r w:rsidRPr="00357AC9">
        <w:rPr>
          <w:rFonts w:ascii="Times New Roman" w:eastAsia="Times New Roman" w:hAnsi="Times New Roman"/>
        </w:rPr>
        <w:t xml:space="preserve">. The second term in Equation 1, </w:t>
      </w:r>
      <w:r w:rsidRPr="00357AC9">
        <w:rPr>
          <w:rFonts w:ascii="Times New Roman" w:eastAsia="Times New Roman" w:hAnsi="Times New Roman"/>
          <w:i/>
        </w:rPr>
        <w:t>u(bias)</w:t>
      </w:r>
      <w:r w:rsidRPr="00357AC9">
        <w:rPr>
          <w:rFonts w:ascii="Times New Roman" w:eastAsia="Times New Roman" w:hAnsi="Times New Roman"/>
        </w:rPr>
        <w:t xml:space="preserve">, is associated with systematic measurement errors and can be equated, in terms of performance characteristics, with measurements of ‘trueness’ </w:t>
      </w:r>
      <w:r w:rsidRPr="00357AC9">
        <w:rPr>
          <w:rFonts w:ascii="Times New Roman" w:eastAsia="Times New Roman" w:hAnsi="Times New Roman"/>
        </w:rPr>
        <w:fldChar w:fldCharType="begin"/>
      </w:r>
      <w:r w:rsidRPr="00357AC9">
        <w:rPr>
          <w:rFonts w:ascii="Times New Roman" w:eastAsia="Times New Roman" w:hAnsi="Times New Roman"/>
        </w:rPr>
        <w:instrText xml:space="preserve"> ADDIN EN.CITE &lt;EndNote&gt;&lt;Cite&gt;&lt;Author&gt;Menditto&lt;/Author&gt;&lt;Year&gt;2007&lt;/Year&gt;&lt;RecNum&gt;16541&lt;/RecNum&gt;&lt;DisplayText&gt;(Menditto et al., 2007)&lt;/DisplayText&gt;&lt;record&gt;&lt;rec-number&gt;16541&lt;/rec-number&gt;&lt;foreign-keys&gt;&lt;key app="EN" db-id="arpwdfwtmws9seez5wep555b95tt22w522te" timestamp="1488980955"&gt;16541&lt;/key&gt;&lt;/foreign-keys&gt;&lt;ref-type name="Journal Article"&gt;17&lt;/ref-type&gt;&lt;contributors&gt;&lt;authors&gt;&lt;author&gt;Menditto, Antonio&lt;/author&gt;&lt;author&gt;Patriarca, Marina&lt;/author&gt;&lt;author&gt;Magnusson, Bertil&lt;/author&gt;&lt;/authors&gt;&lt;/contributors&gt;&lt;titles&gt;&lt;title&gt;Understanding the meaning of accuracy, trueness and precision&lt;/title&gt;&lt;secondary-title&gt;Accreditation and Quality Assurance&lt;/secondary-title&gt;&lt;/titles&gt;&lt;periodical&gt;&lt;full-title&gt;Accreditation and Quality Assurance&lt;/full-title&gt;&lt;abbr-1&gt;Accred Qual Assur&lt;/abbr-1&gt;&lt;/periodical&gt;&lt;pages&gt;45-47&lt;/pages&gt;&lt;volume&gt;12&lt;/volume&gt;&lt;number&gt;1&lt;/number&gt;&lt;dates&gt;&lt;year&gt;2007&lt;/year&gt;&lt;pub-dates&gt;&lt;date&gt;2007//&lt;/date&gt;&lt;/pub-dates&gt;&lt;/dates&gt;&lt;isbn&gt;1432-0517&lt;/isbn&gt;&lt;urls&gt;&lt;related-urls&gt;&lt;url&gt;http://dx.doi.org/10.1007/s00769-006-0191-z&lt;/url&gt;&lt;/related-urls&gt;&lt;/urls&gt;&lt;electronic-resource-num&gt;10.1007/s00769-006-0191-z&lt;/electronic-resource-num&gt;&lt;/record&gt;&lt;/Cite&gt;&lt;/EndNote&gt;</w:instrText>
      </w:r>
      <w:r w:rsidRPr="00357AC9">
        <w:rPr>
          <w:rFonts w:ascii="Times New Roman" w:eastAsia="Times New Roman" w:hAnsi="Times New Roman"/>
        </w:rPr>
        <w:fldChar w:fldCharType="separate"/>
      </w:r>
      <w:r w:rsidRPr="00357AC9">
        <w:rPr>
          <w:rFonts w:ascii="Times New Roman" w:eastAsia="Times New Roman" w:hAnsi="Times New Roman"/>
          <w:noProof/>
        </w:rPr>
        <w:t>(Menditto et al., 2007)</w:t>
      </w:r>
      <w:r w:rsidRPr="00357AC9">
        <w:rPr>
          <w:rFonts w:ascii="Times New Roman" w:eastAsia="Times New Roman" w:hAnsi="Times New Roman"/>
        </w:rPr>
        <w:fldChar w:fldCharType="end"/>
      </w:r>
      <w:r w:rsidRPr="00357AC9">
        <w:rPr>
          <w:rFonts w:ascii="Times New Roman" w:eastAsia="Times New Roman" w:hAnsi="Times New Roman"/>
        </w:rPr>
        <w:t xml:space="preserve"> or accuracy as described in the text </w:t>
      </w:r>
      <w:r w:rsidRPr="00357AC9">
        <w:rPr>
          <w:rFonts w:ascii="Times New Roman" w:eastAsia="Times New Roman" w:hAnsi="Times New Roman"/>
        </w:rPr>
        <w:fldChar w:fldCharType="begin"/>
      </w:r>
      <w:r w:rsidRPr="00357AC9">
        <w:rPr>
          <w:rFonts w:ascii="Times New Roman" w:eastAsia="Times New Roman" w:hAnsi="Times New Roman"/>
        </w:rPr>
        <w:instrText xml:space="preserve"> ADDIN EN.CITE &lt;EndNote&gt;&lt;Cite&gt;&lt;Author&gt;Carter&lt;/Author&gt;&lt;Year&gt;2013&lt;/Year&gt;&lt;RecNum&gt;14860&lt;/RecNum&gt;&lt;Prefix&gt;following &lt;/Prefix&gt;&lt;DisplayText&gt;(following Carter and Fry, 2013)&lt;/DisplayText&gt;&lt;record&gt;&lt;rec-number&gt;14860&lt;/rec-number&gt;&lt;foreign-keys&gt;&lt;key app="EN" db-id="arpwdfwtmws9seez5wep555b95tt22w522te" timestamp="1426259113"&gt;14860&lt;/key&gt;&lt;/foreign-keys&gt;&lt;ref-type name="Journal Article"&gt;17&lt;/ref-type&gt;&lt;contributors&gt;&lt;authors&gt;&lt;author&gt;Carter, J. F.&lt;/author&gt;&lt;author&gt;Fry, B.&lt;/author&gt;&lt;/authors&gt;&lt;/contributors&gt;&lt;titles&gt;&lt;title&gt;Ensuring the reliability of stable isotope ratio data—beyond the principle of identical treatment&lt;/title&gt;&lt;secondary-title&gt;Analytical and Bioanalytical Chemistry&lt;/secondary-title&gt;&lt;alt-title&gt;Anal Bioanal Chem&lt;/alt-title&gt;&lt;/titles&gt;&lt;periodical&gt;&lt;full-title&gt;Analytical and Bioanalytical Chemistry&lt;/full-title&gt;&lt;abbr-1&gt;Anal. Bioanal. Chem.&lt;/abbr-1&gt;&lt;abbr-2&gt;Anal Bioanal Chem&lt;/abbr-2&gt;&lt;/periodical&gt;&lt;alt-periodical&gt;&lt;full-title&gt;Analytical and Bioanalytical Chemistry&lt;/full-title&gt;&lt;abbr-1&gt;Anal. Bioanal. Chem.&lt;/abbr-1&gt;&lt;abbr-2&gt;Anal Bioanal Chem&lt;/abbr-2&gt;&lt;/alt-periodical&gt;&lt;pages&gt;2799-2814&lt;/pages&gt;&lt;volume&gt;405&lt;/volume&gt;&lt;number&gt;9&lt;/number&gt;&lt;keywords&gt;&lt;keyword&gt;Stable isotope ratio measurements&lt;/keyword&gt;&lt;keyword&gt;Isotope-ratio mass spectrometry&lt;/keyword&gt;&lt;keyword&gt;Reference materials&lt;/keyword&gt;&lt;keyword&gt;Principle of identical treatment&lt;/keyword&gt;&lt;keyword&gt;Quality assurance&lt;/keyword&gt;&lt;keyword&gt;Quality control&lt;/keyword&gt;&lt;/keywords&gt;&lt;dates&gt;&lt;year&gt;2013&lt;/year&gt;&lt;pub-dates&gt;&lt;date&gt;2013/03/01&lt;/date&gt;&lt;/pub-dates&gt;&lt;/dates&gt;&lt;publisher&gt;Springer-Verlag&lt;/publisher&gt;&lt;isbn&gt;1618-2642&lt;/isbn&gt;&lt;urls&gt;&lt;related-urls&gt;&lt;url&gt;http://dx.doi.org/10.1007/s00216-012-6551-0&lt;/url&gt;&lt;/related-urls&gt;&lt;/urls&gt;&lt;electronic-resource-num&gt;10.1007/s00216-012-6551-0&lt;/electronic-resource-num&gt;&lt;language&gt;English&lt;/language&gt;&lt;/record&gt;&lt;/Cite&gt;&lt;/EndNote&gt;</w:instrText>
      </w:r>
      <w:r w:rsidRPr="00357AC9">
        <w:rPr>
          <w:rFonts w:ascii="Times New Roman" w:eastAsia="Times New Roman" w:hAnsi="Times New Roman"/>
        </w:rPr>
        <w:fldChar w:fldCharType="separate"/>
      </w:r>
      <w:r w:rsidRPr="00357AC9">
        <w:rPr>
          <w:rFonts w:ascii="Times New Roman" w:eastAsia="Times New Roman" w:hAnsi="Times New Roman"/>
          <w:noProof/>
        </w:rPr>
        <w:t>(following Carter and Fry, 2013)</w:t>
      </w:r>
      <w:r w:rsidRPr="00357AC9">
        <w:rPr>
          <w:rFonts w:ascii="Times New Roman" w:eastAsia="Times New Roman" w:hAnsi="Times New Roman"/>
        </w:rPr>
        <w:fldChar w:fldCharType="end"/>
      </w:r>
      <w:r w:rsidRPr="00357AC9">
        <w:rPr>
          <w:rFonts w:ascii="Times New Roman" w:eastAsia="Times New Roman" w:hAnsi="Times New Roman"/>
        </w:rPr>
        <w:t xml:space="preserve"> . With respect to IRMS measurements, the random error term (</w:t>
      </w:r>
      <w:r w:rsidRPr="00357AC9">
        <w:rPr>
          <w:rFonts w:ascii="Times New Roman" w:eastAsia="Times New Roman" w:hAnsi="Times New Roman"/>
          <w:i/>
        </w:rPr>
        <w:t>u(</w:t>
      </w:r>
      <w:proofErr w:type="spellStart"/>
      <w:r w:rsidRPr="00357AC9">
        <w:rPr>
          <w:rFonts w:ascii="Times New Roman" w:eastAsia="Times New Roman" w:hAnsi="Times New Roman"/>
          <w:i/>
        </w:rPr>
        <w:t>R</w:t>
      </w:r>
      <w:r w:rsidRPr="00357AC9">
        <w:rPr>
          <w:rFonts w:ascii="Times New Roman" w:eastAsia="Times New Roman" w:hAnsi="Times New Roman"/>
          <w:i/>
          <w:vertAlign w:val="subscript"/>
        </w:rPr>
        <w:t>w</w:t>
      </w:r>
      <w:proofErr w:type="spellEnd"/>
      <w:r w:rsidRPr="00357AC9">
        <w:rPr>
          <w:rFonts w:ascii="Times New Roman" w:eastAsia="Times New Roman" w:hAnsi="Times New Roman"/>
          <w:i/>
        </w:rPr>
        <w:t>)</w:t>
      </w:r>
      <w:r w:rsidRPr="00357AC9">
        <w:rPr>
          <w:rFonts w:ascii="Times New Roman" w:eastAsia="Times New Roman" w:hAnsi="Times New Roman"/>
        </w:rPr>
        <w:t>) is the summed standard deviations of all repeated measurements during the relevant analyt</w:t>
      </w:r>
      <w:r w:rsidR="00F418EE">
        <w:rPr>
          <w:rFonts w:ascii="Times New Roman" w:eastAsia="Times New Roman" w:hAnsi="Times New Roman"/>
        </w:rPr>
        <w:t xml:space="preserve">ical sessions, which includes: </w:t>
      </w:r>
      <w:r w:rsidRPr="00357AC9">
        <w:rPr>
          <w:rFonts w:ascii="Times New Roman" w:eastAsia="Times New Roman" w:hAnsi="Times New Roman"/>
        </w:rPr>
        <w:t>check and calibration standards (</w:t>
      </w:r>
      <w:proofErr w:type="spellStart"/>
      <w:r w:rsidRPr="00357AC9">
        <w:rPr>
          <w:rFonts w:ascii="Times New Roman" w:eastAsia="Times New Roman" w:hAnsi="Times New Roman"/>
          <w:i/>
        </w:rPr>
        <w:t>s</w:t>
      </w:r>
      <w:r w:rsidRPr="00357AC9">
        <w:rPr>
          <w:rFonts w:ascii="Times New Roman" w:eastAsia="Times New Roman" w:hAnsi="Times New Roman"/>
          <w:i/>
          <w:vertAlign w:val="subscript"/>
        </w:rPr>
        <w:t>srm</w:t>
      </w:r>
      <w:proofErr w:type="spellEnd"/>
      <w:r w:rsidRPr="00357AC9">
        <w:rPr>
          <w:rFonts w:ascii="Times New Roman" w:eastAsia="Times New Roman" w:hAnsi="Times New Roman"/>
        </w:rPr>
        <w:t>) and any unknown samples analyzed multiple times (</w:t>
      </w:r>
      <w:proofErr w:type="spellStart"/>
      <w:r w:rsidRPr="00357AC9">
        <w:rPr>
          <w:rFonts w:ascii="Times New Roman" w:eastAsia="Times New Roman" w:hAnsi="Times New Roman"/>
          <w:i/>
        </w:rPr>
        <w:t>s</w:t>
      </w:r>
      <w:r w:rsidRPr="00357AC9">
        <w:rPr>
          <w:rFonts w:ascii="Times New Roman" w:eastAsia="Times New Roman" w:hAnsi="Times New Roman"/>
          <w:i/>
          <w:vertAlign w:val="subscript"/>
        </w:rPr>
        <w:t>rep</w:t>
      </w:r>
      <w:proofErr w:type="spellEnd"/>
      <w:r w:rsidRPr="00357AC9">
        <w:rPr>
          <w:rFonts w:ascii="Times New Roman" w:eastAsia="Times New Roman" w:hAnsi="Times New Roman"/>
        </w:rPr>
        <w:t>). The random</w:t>
      </w:r>
      <w:r>
        <w:rPr>
          <w:rFonts w:ascii="Times New Roman" w:eastAsia="Times New Roman" w:hAnsi="Times New Roman"/>
        </w:rPr>
        <w:t xml:space="preserve"> error term (</w:t>
      </w:r>
      <w:r w:rsidRPr="00407A78">
        <w:rPr>
          <w:rFonts w:ascii="Times New Roman" w:eastAsia="Times New Roman" w:hAnsi="Times New Roman"/>
          <w:i/>
        </w:rPr>
        <w:t>u(</w:t>
      </w:r>
      <w:proofErr w:type="spellStart"/>
      <w:r w:rsidRPr="00407A78">
        <w:rPr>
          <w:rFonts w:ascii="Times New Roman" w:eastAsia="Times New Roman" w:hAnsi="Times New Roman"/>
          <w:i/>
        </w:rPr>
        <w:t>R</w:t>
      </w:r>
      <w:r w:rsidRPr="00407A78">
        <w:rPr>
          <w:rFonts w:ascii="Times New Roman" w:eastAsia="Times New Roman" w:hAnsi="Times New Roman"/>
          <w:i/>
          <w:vertAlign w:val="subscript"/>
        </w:rPr>
        <w:t>w</w:t>
      </w:r>
      <w:proofErr w:type="spellEnd"/>
      <w:r w:rsidRPr="00407A78">
        <w:rPr>
          <w:rFonts w:ascii="Times New Roman" w:eastAsia="Times New Roman" w:hAnsi="Times New Roman"/>
          <w:i/>
        </w:rPr>
        <w:t>)</w:t>
      </w:r>
      <w:r>
        <w:rPr>
          <w:rFonts w:ascii="Times New Roman" w:eastAsia="Times New Roman" w:hAnsi="Times New Roman"/>
        </w:rPr>
        <w:t>) is the root-sum-square of these two uncertainty components, as defined by Equation 2:</w:t>
      </w:r>
    </w:p>
    <w:p w14:paraId="4D7E7B41" w14:textId="77777777" w:rsidR="00934C49" w:rsidRPr="00B30656" w:rsidRDefault="00934C49" w:rsidP="00934C49">
      <w:pPr>
        <w:spacing w:after="0"/>
        <w:contextualSpacing/>
        <w:rPr>
          <w:rFonts w:ascii="Times New Roman" w:hAnsi="Times New Roman"/>
        </w:rPr>
      </w:pPr>
    </w:p>
    <w:p w14:paraId="084B4DA6" w14:textId="77777777" w:rsidR="00934C49" w:rsidRDefault="00934C49" w:rsidP="00934C49">
      <w:pPr>
        <w:pStyle w:val="Caption"/>
        <w:keepNext/>
        <w:spacing w:after="0"/>
        <w:contextualSpacing/>
        <w:outlineLvl w:val="0"/>
        <w:rPr>
          <w:rFonts w:ascii="Times New Roman" w:eastAsia="Times New Roman" w:hAnsi="Times New Roman"/>
          <w:color w:val="auto"/>
          <w:sz w:val="24"/>
          <w:szCs w:val="24"/>
        </w:rPr>
      </w:pPr>
      <w:r w:rsidRPr="00B30656">
        <w:rPr>
          <w:rFonts w:ascii="Times New Roman" w:eastAsia="Times New Roman" w:hAnsi="Times New Roman"/>
          <w:color w:val="auto"/>
          <w:sz w:val="24"/>
          <w:szCs w:val="24"/>
        </w:rPr>
        <w:t xml:space="preserve">Equation </w:t>
      </w:r>
      <w:r>
        <w:rPr>
          <w:rFonts w:ascii="Times New Roman" w:eastAsia="Times New Roman" w:hAnsi="Times New Roman"/>
          <w:color w:val="auto"/>
          <w:sz w:val="24"/>
          <w:szCs w:val="24"/>
        </w:rPr>
        <w:t>2</w:t>
      </w:r>
    </w:p>
    <w:p w14:paraId="4BEE9566" w14:textId="77777777" w:rsidR="00934C49" w:rsidRPr="00B30656" w:rsidRDefault="00934C49" w:rsidP="00934C49">
      <w:pPr>
        <w:spacing w:after="0"/>
        <w:contextualSpacing/>
        <w:rPr>
          <w:rFonts w:ascii="Times New Roman" w:hAnsi="Times New Roman"/>
        </w:rPr>
      </w:pPr>
      <m:oMathPara>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w</m:t>
                  </m:r>
                </m:sub>
              </m:sSub>
            </m:e>
          </m:d>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srm</m:t>
                          </m:r>
                        </m:sub>
                      </m:sSub>
                    </m:e>
                  </m:d>
                </m:e>
                <m:sup>
                  <m:r>
                    <w:rPr>
                      <w:rFonts w:ascii="Cambria Math" w:hAnsi="Cambria Math"/>
                    </w:rPr>
                    <m:t>2</m:t>
                  </m:r>
                </m:sup>
              </m:sSup>
              <m:r>
                <w:rPr>
                  <w:rFonts w:ascii="Cambria Math" w:hAnsi="Cambria Math"/>
                </w:rPr>
                <m:t xml:space="preserve"> + </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rep</m:t>
                          </m:r>
                        </m:sub>
                      </m:sSub>
                    </m:e>
                  </m:d>
                </m:e>
                <m:sup>
                  <m:r>
                    <w:rPr>
                      <w:rFonts w:ascii="Cambria Math" w:hAnsi="Cambria Math"/>
                    </w:rPr>
                    <m:t>2</m:t>
                  </m:r>
                </m:sup>
              </m:sSup>
              <m:r>
                <w:rPr>
                  <w:rFonts w:ascii="Cambria Math" w:hAnsi="Cambria Math"/>
                </w:rPr>
                <m:t xml:space="preserve"> </m:t>
              </m:r>
            </m:e>
          </m:rad>
        </m:oMath>
      </m:oMathPara>
    </w:p>
    <w:p w14:paraId="1AE63775" w14:textId="77777777" w:rsidR="00934C49" w:rsidRDefault="00934C49" w:rsidP="00934C49">
      <w:pPr>
        <w:rPr>
          <w:rFonts w:ascii="Times New Roman" w:hAnsi="Times New Roman"/>
        </w:rPr>
      </w:pPr>
    </w:p>
    <w:p w14:paraId="0CEA4F56" w14:textId="5F013D27" w:rsidR="00934C49" w:rsidRDefault="00934C49" w:rsidP="00934C49">
      <w:pPr>
        <w:rPr>
          <w:rFonts w:ascii="Times New Roman" w:eastAsia="Times New Roman" w:hAnsi="Times New Roman"/>
        </w:rPr>
      </w:pPr>
      <w:r w:rsidRPr="00C5113A">
        <w:rPr>
          <w:rFonts w:ascii="Times New Roman" w:hAnsi="Times New Roman"/>
        </w:rPr>
        <w:t xml:space="preserve">Both </w:t>
      </w:r>
      <w:proofErr w:type="spellStart"/>
      <w:r w:rsidRPr="00C5113A">
        <w:rPr>
          <w:rFonts w:ascii="Times New Roman" w:eastAsia="Times New Roman" w:hAnsi="Times New Roman"/>
          <w:i/>
        </w:rPr>
        <w:t>s</w:t>
      </w:r>
      <w:r>
        <w:rPr>
          <w:rFonts w:ascii="Times New Roman" w:eastAsia="Times New Roman" w:hAnsi="Times New Roman"/>
          <w:i/>
          <w:vertAlign w:val="subscript"/>
        </w:rPr>
        <w:t>srm</w:t>
      </w:r>
      <w:proofErr w:type="spellEnd"/>
      <w:r>
        <w:rPr>
          <w:rFonts w:ascii="Times New Roman" w:eastAsia="Times New Roman" w:hAnsi="Times New Roman"/>
          <w:i/>
        </w:rPr>
        <w:t xml:space="preserve"> </w:t>
      </w:r>
      <w:r w:rsidRPr="00C5113A">
        <w:rPr>
          <w:rFonts w:ascii="Times New Roman" w:eastAsia="Times New Roman" w:hAnsi="Times New Roman"/>
        </w:rPr>
        <w:t xml:space="preserve">and </w:t>
      </w:r>
      <w:proofErr w:type="spellStart"/>
      <w:r w:rsidRPr="00C5113A">
        <w:rPr>
          <w:rFonts w:ascii="Times New Roman" w:eastAsia="Times New Roman" w:hAnsi="Times New Roman"/>
          <w:i/>
        </w:rPr>
        <w:t>s</w:t>
      </w:r>
      <w:r>
        <w:rPr>
          <w:rFonts w:ascii="Times New Roman" w:eastAsia="Times New Roman" w:hAnsi="Times New Roman"/>
          <w:i/>
          <w:vertAlign w:val="subscript"/>
        </w:rPr>
        <w:t>rep</w:t>
      </w:r>
      <w:proofErr w:type="spellEnd"/>
      <w:r>
        <w:rPr>
          <w:rFonts w:ascii="Times New Roman" w:eastAsia="Times New Roman" w:hAnsi="Times New Roman"/>
        </w:rPr>
        <w:t xml:space="preserve"> are defined as the pooled standard deviation of each component (</w:t>
      </w:r>
      <w:proofErr w:type="spellStart"/>
      <w:r w:rsidRPr="00314B86">
        <w:rPr>
          <w:rFonts w:ascii="Times New Roman" w:eastAsia="Times New Roman" w:hAnsi="Times New Roman"/>
          <w:i/>
        </w:rPr>
        <w:t>s</w:t>
      </w:r>
      <w:r w:rsidRPr="00314B86">
        <w:rPr>
          <w:rFonts w:ascii="Times New Roman" w:eastAsia="Times New Roman" w:hAnsi="Times New Roman"/>
          <w:i/>
          <w:vertAlign w:val="subscript"/>
        </w:rPr>
        <w:t>x</w:t>
      </w:r>
      <w:proofErr w:type="spellEnd"/>
      <w:r>
        <w:rPr>
          <w:rFonts w:ascii="Times New Roman" w:eastAsia="Times New Roman" w:hAnsi="Times New Roman"/>
        </w:rPr>
        <w:t>)</w:t>
      </w:r>
      <w:r w:rsidR="00F418EE">
        <w:rPr>
          <w:rFonts w:ascii="Times New Roman" w:eastAsia="Times New Roman" w:hAnsi="Times New Roman"/>
        </w:rPr>
        <w:t>, following</w:t>
      </w:r>
      <w:r>
        <w:rPr>
          <w:rFonts w:ascii="Times New Roman" w:eastAsia="Times New Roman" w:hAnsi="Times New Roman"/>
        </w:rPr>
        <w:t xml:space="preserve"> Equation 3:</w:t>
      </w:r>
    </w:p>
    <w:p w14:paraId="13F242D4" w14:textId="77777777" w:rsidR="00934C49" w:rsidRPr="00314B86" w:rsidRDefault="00934C49" w:rsidP="00934C49">
      <w:pPr>
        <w:rPr>
          <w:rFonts w:ascii="Times New Roman" w:eastAsia="Times New Roman" w:hAnsi="Times New Roman"/>
          <w:b/>
        </w:rPr>
      </w:pPr>
      <w:r w:rsidRPr="00314B86">
        <w:rPr>
          <w:rFonts w:ascii="Times New Roman" w:eastAsia="Times New Roman" w:hAnsi="Times New Roman"/>
          <w:b/>
        </w:rPr>
        <w:t>Equation 3</w:t>
      </w:r>
    </w:p>
    <w:p w14:paraId="4FFA756A" w14:textId="77777777" w:rsidR="00934C49" w:rsidRPr="00C5113A" w:rsidRDefault="00F60343" w:rsidP="00934C49">
      <w:pPr>
        <w:jc w:val="center"/>
        <w:rPr>
          <w:rFonts w:ascii="Times New Roman" w:hAnsi="Times New Roman"/>
        </w:rPr>
      </w:pPr>
      <m:oMathPara>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x</m:t>
              </m:r>
            </m:sub>
          </m:sSub>
          <m:r>
            <w:rPr>
              <w:rFonts w:ascii="Cambria Math" w:eastAsia="Times New Roman" w:hAnsi="Cambria Math"/>
            </w:rPr>
            <m:t xml:space="preserve">= </m:t>
          </m:r>
          <m:rad>
            <m:radPr>
              <m:degHide m:val="1"/>
              <m:ctrlPr>
                <w:rPr>
                  <w:rFonts w:ascii="Cambria Math" w:eastAsia="Times New Roman" w:hAnsi="Cambria Math"/>
                  <w:i/>
                </w:rPr>
              </m:ctrlPr>
            </m:radPr>
            <m:deg/>
            <m:e>
              <m:f>
                <m:fPr>
                  <m:ctrlPr>
                    <w:rPr>
                      <w:rFonts w:ascii="Cambria Math" w:eastAsia="Times New Roman" w:hAnsi="Cambria Math"/>
                      <w:i/>
                    </w:rPr>
                  </m:ctrlPr>
                </m:fPr>
                <m:num>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1</m:t>
                          </m:r>
                        </m:sub>
                      </m:sSub>
                      <m:r>
                        <w:rPr>
                          <w:rFonts w:ascii="Cambria Math" w:eastAsia="Times New Roman" w:hAnsi="Cambria Math"/>
                        </w:rPr>
                        <m:t>-1</m:t>
                      </m:r>
                    </m:e>
                  </m:d>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1</m:t>
                          </m:r>
                        </m:sub>
                      </m:sSub>
                    </m:e>
                    <m:sup>
                      <m:r>
                        <w:rPr>
                          <w:rFonts w:ascii="Cambria Math" w:eastAsia="Times New Roman" w:hAnsi="Cambria Math"/>
                        </w:rPr>
                        <m:t>2</m:t>
                      </m:r>
                    </m:sup>
                  </m:sSup>
                  <m:r>
                    <w:rPr>
                      <w:rFonts w:ascii="Cambria Math" w:eastAsia="Times New Roman" w:hAnsi="Cambria Math"/>
                    </w:rPr>
                    <m:t xml:space="preserve">+ </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2</m:t>
                          </m:r>
                        </m:sub>
                      </m:sSub>
                      <m:r>
                        <w:rPr>
                          <w:rFonts w:ascii="Cambria Math" w:eastAsia="Times New Roman" w:hAnsi="Cambria Math"/>
                        </w:rPr>
                        <m:t>-1</m:t>
                      </m:r>
                    </m:e>
                  </m:d>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2</m:t>
                          </m:r>
                        </m:sub>
                      </m:sSub>
                    </m:e>
                    <m:sup>
                      <m:r>
                        <w:rPr>
                          <w:rFonts w:ascii="Cambria Math" w:eastAsia="Times New Roman" w:hAnsi="Cambria Math"/>
                        </w:rPr>
                        <m:t>2</m:t>
                      </m:r>
                    </m:sup>
                  </m:sSup>
                  <m:r>
                    <w:rPr>
                      <w:rFonts w:ascii="Cambria Math" w:eastAsia="Times New Roman" w:hAnsi="Cambria Math"/>
                    </w:rPr>
                    <m:t xml:space="preserve">+ . . . + </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k</m:t>
                          </m:r>
                        </m:sub>
                      </m:sSub>
                      <m:r>
                        <w:rPr>
                          <w:rFonts w:ascii="Cambria Math" w:eastAsia="Times New Roman" w:hAnsi="Cambria Math"/>
                        </w:rPr>
                        <m:t>-1</m:t>
                      </m:r>
                    </m:e>
                  </m:d>
                  <m:sSup>
                    <m:sSupPr>
                      <m:ctrlPr>
                        <w:rPr>
                          <w:rFonts w:ascii="Cambria Math" w:eastAsia="Times New Roman" w:hAnsi="Cambria Math"/>
                          <w:i/>
                        </w:rPr>
                      </m:ctrlPr>
                    </m:sSupPr>
                    <m:e>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k</m:t>
                          </m:r>
                        </m:sub>
                      </m:sSub>
                    </m:e>
                    <m:sup>
                      <m:r>
                        <w:rPr>
                          <w:rFonts w:ascii="Cambria Math" w:eastAsia="Times New Roman" w:hAnsi="Cambria Math"/>
                        </w:rPr>
                        <m:t>2</m:t>
                      </m:r>
                    </m:sup>
                  </m:sSup>
                </m:num>
                <m:den>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1</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2</m:t>
                      </m:r>
                    </m:sub>
                  </m:sSub>
                  <m:r>
                    <w:rPr>
                      <w:rFonts w:ascii="Cambria Math" w:eastAsia="Times New Roman" w:hAnsi="Cambria Math"/>
                    </w:rPr>
                    <m:t xml:space="preserve">+ . . . + </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k</m:t>
                      </m:r>
                    </m:sub>
                  </m:sSub>
                  <m:r>
                    <w:rPr>
                      <w:rFonts w:ascii="Cambria Math" w:eastAsia="Times New Roman" w:hAnsi="Cambria Math"/>
                    </w:rPr>
                    <m:t>-k</m:t>
                  </m:r>
                </m:den>
              </m:f>
            </m:e>
          </m:rad>
        </m:oMath>
      </m:oMathPara>
    </w:p>
    <w:p w14:paraId="56773867" w14:textId="78246C6C" w:rsidR="00934C49" w:rsidRPr="00874033" w:rsidRDefault="00934C49" w:rsidP="00934C49">
      <w:pPr>
        <w:rPr>
          <w:rFonts w:ascii="Times New Roman" w:hAnsi="Times New Roman"/>
        </w:rPr>
      </w:pPr>
      <w:r w:rsidRPr="00314B86">
        <w:rPr>
          <w:rFonts w:ascii="Times New Roman" w:hAnsi="Times New Roman"/>
        </w:rPr>
        <w:t xml:space="preserve">Where </w:t>
      </w:r>
      <w:r w:rsidRPr="00314B86">
        <w:rPr>
          <w:rFonts w:ascii="Times New Roman" w:hAnsi="Times New Roman"/>
          <w:i/>
        </w:rPr>
        <w:t>k</w:t>
      </w:r>
      <w:r>
        <w:rPr>
          <w:rFonts w:ascii="Times New Roman" w:hAnsi="Times New Roman"/>
        </w:rPr>
        <w:t xml:space="preserve"> is the number of different samples analyzed repeatedly such that in the case of calculating </w:t>
      </w:r>
      <w:proofErr w:type="spellStart"/>
      <w:r w:rsidRPr="00C5113A">
        <w:rPr>
          <w:rFonts w:ascii="Times New Roman" w:eastAsia="Times New Roman" w:hAnsi="Times New Roman"/>
          <w:i/>
        </w:rPr>
        <w:t>s</w:t>
      </w:r>
      <w:r>
        <w:rPr>
          <w:rFonts w:ascii="Times New Roman" w:eastAsia="Times New Roman" w:hAnsi="Times New Roman"/>
          <w:i/>
          <w:vertAlign w:val="subscript"/>
        </w:rPr>
        <w:t>srm</w:t>
      </w:r>
      <w:proofErr w:type="spellEnd"/>
      <w:r>
        <w:rPr>
          <w:rFonts w:ascii="Times New Roman" w:eastAsia="Times New Roman" w:hAnsi="Times New Roman"/>
          <w:i/>
        </w:rPr>
        <w:t xml:space="preserve"> </w:t>
      </w:r>
      <w:r w:rsidRPr="00314B86">
        <w:rPr>
          <w:rFonts w:ascii="Times New Roman" w:eastAsia="Times New Roman" w:hAnsi="Times New Roman"/>
          <w:i/>
        </w:rPr>
        <w:t>k</w:t>
      </w:r>
      <w:r>
        <w:rPr>
          <w:rFonts w:ascii="Times New Roman" w:eastAsia="Times New Roman" w:hAnsi="Times New Roman"/>
        </w:rPr>
        <w:t xml:space="preserve"> would </w:t>
      </w:r>
      <w:r w:rsidR="00F418EE">
        <w:rPr>
          <w:rFonts w:ascii="Times New Roman" w:eastAsia="Times New Roman" w:hAnsi="Times New Roman"/>
        </w:rPr>
        <w:t xml:space="preserve">be </w:t>
      </w:r>
      <w:r>
        <w:rPr>
          <w:rFonts w:ascii="Times New Roman" w:eastAsia="Times New Roman" w:hAnsi="Times New Roman"/>
        </w:rPr>
        <w:t xml:space="preserve">equal </w:t>
      </w:r>
      <w:r w:rsidR="00F418EE">
        <w:rPr>
          <w:rFonts w:ascii="Times New Roman" w:eastAsia="Times New Roman" w:hAnsi="Times New Roman"/>
        </w:rPr>
        <w:t xml:space="preserve">to </w:t>
      </w:r>
      <w:r>
        <w:rPr>
          <w:rFonts w:ascii="Times New Roman" w:eastAsia="Times New Roman" w:hAnsi="Times New Roman"/>
        </w:rPr>
        <w:t xml:space="preserve">the number of different standard reference materials that were analyzed and in the case of calculating </w:t>
      </w:r>
      <w:proofErr w:type="spellStart"/>
      <w:r w:rsidRPr="00C5113A">
        <w:rPr>
          <w:rFonts w:ascii="Times New Roman" w:eastAsia="Times New Roman" w:hAnsi="Times New Roman"/>
          <w:i/>
        </w:rPr>
        <w:t>s</w:t>
      </w:r>
      <w:r>
        <w:rPr>
          <w:rFonts w:ascii="Times New Roman" w:eastAsia="Times New Roman" w:hAnsi="Times New Roman"/>
          <w:i/>
          <w:vertAlign w:val="subscript"/>
        </w:rPr>
        <w:t>rep</w:t>
      </w:r>
      <w:proofErr w:type="spellEnd"/>
      <w:r>
        <w:rPr>
          <w:rFonts w:ascii="Times New Roman" w:eastAsia="Times New Roman" w:hAnsi="Times New Roman"/>
        </w:rPr>
        <w:t xml:space="preserve"> </w:t>
      </w:r>
      <w:r w:rsidRPr="00314B86">
        <w:rPr>
          <w:rFonts w:ascii="Times New Roman" w:eastAsia="Times New Roman" w:hAnsi="Times New Roman"/>
          <w:i/>
        </w:rPr>
        <w:t>k</w:t>
      </w:r>
      <w:r>
        <w:rPr>
          <w:rFonts w:ascii="Times New Roman" w:eastAsia="Times New Roman" w:hAnsi="Times New Roman"/>
        </w:rPr>
        <w:t xml:space="preserve"> would equal the number of samples that were analyzed in duplicate or triplicate and so on. The term </w:t>
      </w:r>
      <w:proofErr w:type="spellStart"/>
      <w:r w:rsidRPr="00874033">
        <w:rPr>
          <w:rFonts w:ascii="Times New Roman" w:eastAsia="Times New Roman" w:hAnsi="Times New Roman"/>
          <w:i/>
        </w:rPr>
        <w:t>n</w:t>
      </w:r>
      <w:r w:rsidRPr="00874033">
        <w:rPr>
          <w:rFonts w:ascii="Times New Roman" w:eastAsia="Times New Roman" w:hAnsi="Times New Roman"/>
          <w:i/>
          <w:vertAlign w:val="subscript"/>
        </w:rPr>
        <w:t>k</w:t>
      </w:r>
      <w:proofErr w:type="spellEnd"/>
      <w:r>
        <w:rPr>
          <w:rFonts w:ascii="Times New Roman" w:eastAsia="Times New Roman" w:hAnsi="Times New Roman"/>
        </w:rPr>
        <w:t xml:space="preserve"> represents the number of measurements made for a specific standard or sample and </w:t>
      </w:r>
      <w:proofErr w:type="spellStart"/>
      <w:r w:rsidRPr="00874033">
        <w:rPr>
          <w:rFonts w:ascii="Times New Roman" w:eastAsia="Times New Roman" w:hAnsi="Times New Roman"/>
          <w:i/>
        </w:rPr>
        <w:t>s</w:t>
      </w:r>
      <w:r w:rsidRPr="00874033">
        <w:rPr>
          <w:rFonts w:ascii="Times New Roman" w:eastAsia="Times New Roman" w:hAnsi="Times New Roman"/>
          <w:i/>
          <w:vertAlign w:val="subscript"/>
        </w:rPr>
        <w:t>k</w:t>
      </w:r>
      <w:proofErr w:type="spellEnd"/>
      <w:r>
        <w:rPr>
          <w:rFonts w:ascii="Times New Roman" w:eastAsia="Times New Roman" w:hAnsi="Times New Roman"/>
          <w:i/>
        </w:rPr>
        <w:t xml:space="preserve"> </w:t>
      </w:r>
      <w:r w:rsidRPr="00874033">
        <w:rPr>
          <w:rFonts w:ascii="Times New Roman" w:eastAsia="Times New Roman" w:hAnsi="Times New Roman"/>
        </w:rPr>
        <w:t>represent</w:t>
      </w:r>
      <w:r w:rsidR="0085355A">
        <w:rPr>
          <w:rFonts w:ascii="Times New Roman" w:eastAsia="Times New Roman" w:hAnsi="Times New Roman"/>
        </w:rPr>
        <w:t>s</w:t>
      </w:r>
      <w:r w:rsidRPr="00874033">
        <w:rPr>
          <w:rFonts w:ascii="Times New Roman" w:eastAsia="Times New Roman" w:hAnsi="Times New Roman"/>
        </w:rPr>
        <w:t xml:space="preserve"> </w:t>
      </w:r>
      <w:r>
        <w:rPr>
          <w:rFonts w:ascii="Times New Roman" w:eastAsia="Times New Roman" w:hAnsi="Times New Roman"/>
        </w:rPr>
        <w:t xml:space="preserve">within standard </w:t>
      </w:r>
      <w:r w:rsidR="00F418EE">
        <w:rPr>
          <w:rFonts w:ascii="Times New Roman" w:eastAsia="Times New Roman" w:hAnsi="Times New Roman"/>
        </w:rPr>
        <w:t xml:space="preserve">reference material </w:t>
      </w:r>
      <w:r>
        <w:rPr>
          <w:rFonts w:ascii="Times New Roman" w:eastAsia="Times New Roman" w:hAnsi="Times New Roman"/>
        </w:rPr>
        <w:t xml:space="preserve">or sample </w:t>
      </w:r>
      <w:r w:rsidR="00F418EE">
        <w:rPr>
          <w:rFonts w:ascii="Times New Roman" w:eastAsia="Times New Roman" w:hAnsi="Times New Roman"/>
        </w:rPr>
        <w:t>standard deviation</w:t>
      </w:r>
      <w:r w:rsidRPr="00874033">
        <w:rPr>
          <w:rFonts w:ascii="Times New Roman" w:eastAsia="Times New Roman" w:hAnsi="Times New Roman"/>
        </w:rPr>
        <w:t xml:space="preserve">. </w:t>
      </w:r>
      <w:r w:rsidR="00B07081">
        <w:rPr>
          <w:rFonts w:ascii="Times New Roman" w:eastAsia="Times New Roman" w:hAnsi="Times New Roman"/>
        </w:rPr>
        <w:t xml:space="preserve">For </w:t>
      </w:r>
      <w:proofErr w:type="spellStart"/>
      <w:r w:rsidR="00B07081" w:rsidRPr="00C5113A">
        <w:rPr>
          <w:rFonts w:ascii="Times New Roman" w:eastAsia="Times New Roman" w:hAnsi="Times New Roman"/>
          <w:i/>
        </w:rPr>
        <w:t>s</w:t>
      </w:r>
      <w:r w:rsidR="00B07081">
        <w:rPr>
          <w:rFonts w:ascii="Times New Roman" w:eastAsia="Times New Roman" w:hAnsi="Times New Roman"/>
          <w:i/>
          <w:vertAlign w:val="subscript"/>
        </w:rPr>
        <w:t>srm</w:t>
      </w:r>
      <w:proofErr w:type="spellEnd"/>
      <w:r w:rsidR="00B07081">
        <w:rPr>
          <w:rFonts w:ascii="Times New Roman" w:eastAsia="Times New Roman" w:hAnsi="Times New Roman"/>
          <w:i/>
        </w:rPr>
        <w:t xml:space="preserve"> </w:t>
      </w:r>
      <w:r w:rsidR="00B07081" w:rsidRPr="00B07081">
        <w:rPr>
          <w:rFonts w:ascii="Times New Roman" w:eastAsia="Times New Roman" w:hAnsi="Times New Roman"/>
        </w:rPr>
        <w:t>each</w:t>
      </w:r>
      <w:r w:rsidR="00B07081">
        <w:rPr>
          <w:rFonts w:ascii="Times New Roman" w:eastAsia="Times New Roman" w:hAnsi="Times New Roman"/>
          <w:i/>
        </w:rPr>
        <w:t xml:space="preserve"> </w:t>
      </w:r>
      <w:proofErr w:type="spellStart"/>
      <w:proofErr w:type="gramStart"/>
      <w:r w:rsidR="00B07081">
        <w:rPr>
          <w:rFonts w:ascii="Times New Roman" w:eastAsia="Times New Roman" w:hAnsi="Times New Roman"/>
          <w:i/>
        </w:rPr>
        <w:t>s</w:t>
      </w:r>
      <w:r w:rsidR="00B07081" w:rsidRPr="00F60343">
        <w:rPr>
          <w:rFonts w:ascii="Times New Roman" w:eastAsia="Times New Roman" w:hAnsi="Times New Roman"/>
          <w:i/>
          <w:vertAlign w:val="subscript"/>
        </w:rPr>
        <w:t>k</w:t>
      </w:r>
      <w:proofErr w:type="spellEnd"/>
      <w:proofErr w:type="gramEnd"/>
      <w:r w:rsidR="00B07081">
        <w:rPr>
          <w:rFonts w:ascii="Times New Roman" w:eastAsia="Times New Roman" w:hAnsi="Times New Roman"/>
          <w:i/>
        </w:rPr>
        <w:t xml:space="preserve"> </w:t>
      </w:r>
      <w:r w:rsidR="00B07081">
        <w:rPr>
          <w:rFonts w:ascii="Times New Roman" w:eastAsia="Times New Roman" w:hAnsi="Times New Roman"/>
        </w:rPr>
        <w:t>term represents one standard reference material measured in one analytical session, not the average of one standard reference material measured across all analytical sessions.</w:t>
      </w:r>
      <w:r w:rsidR="00B07081">
        <w:rPr>
          <w:rFonts w:ascii="Times New Roman" w:eastAsia="Times New Roman" w:hAnsi="Times New Roman"/>
          <w:i/>
        </w:rPr>
        <w:t xml:space="preserve"> </w:t>
      </w:r>
      <w:r w:rsidR="00AD2E2E">
        <w:rPr>
          <w:rFonts w:ascii="Times New Roman" w:eastAsia="Times New Roman" w:hAnsi="Times New Roman"/>
        </w:rPr>
        <w:t>The pooled standard deviation is a weighted average of multiple standard deviations. It is advantageous to simply computing an average standard deviation because it provides more ‘weight’ to those samples or standards that have been analyzed more times (i.e., more weight to samples analyzed in triplicate relative to samples analyzed in duplicate).</w:t>
      </w:r>
      <w:r w:rsidR="007F0647">
        <w:rPr>
          <w:rFonts w:ascii="Times New Roman" w:eastAsia="Times New Roman" w:hAnsi="Times New Roman"/>
        </w:rPr>
        <w:t xml:space="preserve"> </w:t>
      </w:r>
      <w:r w:rsidRPr="00874033">
        <w:rPr>
          <w:rFonts w:ascii="Times New Roman" w:eastAsia="Times New Roman" w:hAnsi="Times New Roman"/>
        </w:rPr>
        <w:t>The second term in Equation 1 (</w:t>
      </w:r>
      <w:proofErr w:type="gramStart"/>
      <w:r w:rsidRPr="00874033">
        <w:rPr>
          <w:rFonts w:ascii="Times New Roman" w:eastAsia="Times New Roman" w:hAnsi="Times New Roman"/>
          <w:i/>
        </w:rPr>
        <w:t>u(</w:t>
      </w:r>
      <w:proofErr w:type="gramEnd"/>
      <w:r w:rsidRPr="00874033">
        <w:rPr>
          <w:rFonts w:ascii="Times New Roman" w:eastAsia="Times New Roman" w:hAnsi="Times New Roman"/>
          <w:i/>
        </w:rPr>
        <w:t>bias)</w:t>
      </w:r>
      <w:r w:rsidRPr="00874033">
        <w:rPr>
          <w:rFonts w:ascii="Times New Roman" w:eastAsia="Times New Roman" w:hAnsi="Times New Roman"/>
        </w:rPr>
        <w:t>) is defined by Equation 4:</w:t>
      </w:r>
    </w:p>
    <w:p w14:paraId="36BB998A" w14:textId="77777777" w:rsidR="00934C49" w:rsidRPr="00874033" w:rsidRDefault="00934C49" w:rsidP="00934C49">
      <w:pPr>
        <w:rPr>
          <w:rFonts w:ascii="Times New Roman" w:hAnsi="Times New Roman"/>
          <w:b/>
        </w:rPr>
      </w:pPr>
      <w:r w:rsidRPr="00874033">
        <w:rPr>
          <w:rFonts w:ascii="Times New Roman" w:hAnsi="Times New Roman"/>
          <w:b/>
        </w:rPr>
        <w:t>Equation 4</w:t>
      </w:r>
    </w:p>
    <w:p w14:paraId="55FE1FF8" w14:textId="77777777" w:rsidR="00934C49" w:rsidRPr="00B30656" w:rsidRDefault="00934C49" w:rsidP="00934C49">
      <w:pPr>
        <w:spacing w:after="0"/>
        <w:contextualSpacing/>
        <w:rPr>
          <w:rFonts w:ascii="Times New Roman" w:hAnsi="Times New Roman"/>
        </w:rPr>
      </w:pPr>
      <m:oMathPara>
        <m:oMath>
          <m:r>
            <w:rPr>
              <w:rFonts w:ascii="Cambria Math" w:hAnsi="Cambria Math"/>
            </w:rPr>
            <m:t xml:space="preserve">u(bias)= </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RMS</m:t>
                          </m:r>
                        </m:e>
                        <m:sub>
                          <m:r>
                            <w:rPr>
                              <w:rFonts w:ascii="Cambria Math" w:hAnsi="Cambria Math"/>
                            </w:rPr>
                            <m:t>bi</m:t>
                          </m:r>
                          <m:r>
                            <w:rPr>
                              <w:rFonts w:ascii="Cambria Math" w:hAnsi="Cambria Math"/>
                            </w:rPr>
                            <m:t>as</m:t>
                          </m:r>
                        </m:sub>
                      </m:sSub>
                    </m:e>
                  </m:d>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u(Cref)</m:t>
                  </m:r>
                </m:e>
                <m:sup>
                  <m:r>
                    <w:rPr>
                      <w:rFonts w:ascii="Cambria Math" w:hAnsi="Cambria Math"/>
                    </w:rPr>
                    <m:t>2</m:t>
                  </m:r>
                </m:sup>
              </m:sSup>
              <m:r>
                <w:rPr>
                  <w:rFonts w:ascii="Cambria Math" w:hAnsi="Cambria Math"/>
                </w:rPr>
                <m:t xml:space="preserve"> </m:t>
              </m:r>
            </m:e>
          </m:rad>
        </m:oMath>
      </m:oMathPara>
    </w:p>
    <w:p w14:paraId="111D48F6" w14:textId="77777777" w:rsidR="00934C49" w:rsidRPr="00B30656" w:rsidRDefault="00934C49" w:rsidP="00934C49">
      <w:pPr>
        <w:spacing w:after="0"/>
        <w:contextualSpacing/>
        <w:rPr>
          <w:rFonts w:ascii="Times New Roman" w:hAnsi="Times New Roman"/>
        </w:rPr>
      </w:pPr>
    </w:p>
    <w:p w14:paraId="2B84AD01" w14:textId="77777777" w:rsidR="00934C49" w:rsidRDefault="00934C49" w:rsidP="00934C49">
      <w:pPr>
        <w:rPr>
          <w:rFonts w:ascii="Times New Roman" w:hAnsi="Times New Roman"/>
        </w:rPr>
      </w:pPr>
      <w:proofErr w:type="spellStart"/>
      <w:r w:rsidRPr="00F40092">
        <w:rPr>
          <w:rFonts w:ascii="Times New Roman" w:hAnsi="Times New Roman"/>
          <w:i/>
        </w:rPr>
        <w:t>RMS</w:t>
      </w:r>
      <w:r w:rsidRPr="00F40092">
        <w:rPr>
          <w:rFonts w:ascii="Times New Roman" w:hAnsi="Times New Roman"/>
          <w:i/>
          <w:vertAlign w:val="subscript"/>
        </w:rPr>
        <w:t>bias</w:t>
      </w:r>
      <w:proofErr w:type="spellEnd"/>
      <w:r w:rsidRPr="00F40092">
        <w:rPr>
          <w:rFonts w:ascii="Times New Roman" w:hAnsi="Times New Roman"/>
        </w:rPr>
        <w:t xml:space="preserve"> </w:t>
      </w:r>
      <w:r>
        <w:rPr>
          <w:rFonts w:ascii="Times New Roman" w:hAnsi="Times New Roman"/>
        </w:rPr>
        <w:t>represents the root-mean-square of the difference (</w:t>
      </w:r>
      <w:proofErr w:type="spellStart"/>
      <w:r w:rsidRPr="00F40092">
        <w:rPr>
          <w:rFonts w:ascii="Times New Roman" w:hAnsi="Times New Roman"/>
          <w:i/>
        </w:rPr>
        <w:t>bias</w:t>
      </w:r>
      <w:r w:rsidRPr="00F40092">
        <w:rPr>
          <w:rFonts w:ascii="Times New Roman" w:hAnsi="Times New Roman"/>
          <w:i/>
          <w:vertAlign w:val="subscript"/>
        </w:rPr>
        <w:t>i</w:t>
      </w:r>
      <w:proofErr w:type="spellEnd"/>
      <w:r>
        <w:rPr>
          <w:rFonts w:ascii="Times New Roman" w:hAnsi="Times New Roman"/>
        </w:rPr>
        <w:t>) between the observed mean (</w:t>
      </w:r>
      <w:proofErr w:type="spellStart"/>
      <w:r w:rsidRPr="00F40092">
        <w:rPr>
          <w:rFonts w:ascii="Times New Roman" w:hAnsi="Times New Roman"/>
          <w:i/>
        </w:rPr>
        <w:t>Clab</w:t>
      </w:r>
      <w:r w:rsidRPr="00F40092">
        <w:rPr>
          <w:rFonts w:ascii="Times New Roman" w:hAnsi="Times New Roman"/>
          <w:i/>
          <w:vertAlign w:val="subscript"/>
        </w:rPr>
        <w:t>i</w:t>
      </w:r>
      <w:proofErr w:type="spellEnd"/>
      <w:r>
        <w:rPr>
          <w:rFonts w:ascii="Times New Roman" w:hAnsi="Times New Roman"/>
        </w:rPr>
        <w:t>) and known (</w:t>
      </w:r>
      <w:proofErr w:type="spellStart"/>
      <w:r w:rsidRPr="00F40092">
        <w:rPr>
          <w:rFonts w:ascii="Times New Roman" w:hAnsi="Times New Roman"/>
          <w:i/>
        </w:rPr>
        <w:t>Cref</w:t>
      </w:r>
      <w:r w:rsidRPr="00F40092">
        <w:rPr>
          <w:rFonts w:ascii="Times New Roman" w:hAnsi="Times New Roman"/>
          <w:i/>
          <w:vertAlign w:val="subscript"/>
        </w:rPr>
        <w:t>i</w:t>
      </w:r>
      <w:proofErr w:type="spellEnd"/>
      <w:r>
        <w:rPr>
          <w:rFonts w:ascii="Times New Roman" w:hAnsi="Times New Roman"/>
        </w:rPr>
        <w:t xml:space="preserve">) values of the standard reference materials that are treated as unknowns during analysis (check standards). </w:t>
      </w:r>
      <w:proofErr w:type="spellStart"/>
      <w:r w:rsidRPr="00F40092">
        <w:rPr>
          <w:rFonts w:ascii="Times New Roman" w:hAnsi="Times New Roman"/>
          <w:i/>
        </w:rPr>
        <w:t>RMS</w:t>
      </w:r>
      <w:r w:rsidRPr="00F40092">
        <w:rPr>
          <w:rFonts w:ascii="Times New Roman" w:hAnsi="Times New Roman"/>
          <w:i/>
          <w:vertAlign w:val="subscript"/>
        </w:rPr>
        <w:t>bias</w:t>
      </w:r>
      <w:proofErr w:type="spellEnd"/>
      <w:r w:rsidRPr="00F40092">
        <w:rPr>
          <w:rFonts w:ascii="Times New Roman" w:hAnsi="Times New Roman"/>
        </w:rPr>
        <w:t xml:space="preserve"> </w:t>
      </w:r>
      <w:r>
        <w:rPr>
          <w:rFonts w:ascii="Times New Roman" w:hAnsi="Times New Roman"/>
        </w:rPr>
        <w:t xml:space="preserve">is therefore defined by Equation 5 and </w:t>
      </w:r>
      <w:proofErr w:type="spellStart"/>
      <w:r w:rsidRPr="00F40092">
        <w:rPr>
          <w:rFonts w:ascii="Times New Roman" w:hAnsi="Times New Roman"/>
          <w:i/>
        </w:rPr>
        <w:t>bias</w:t>
      </w:r>
      <w:r w:rsidRPr="00F40092">
        <w:rPr>
          <w:rFonts w:ascii="Times New Roman" w:hAnsi="Times New Roman"/>
          <w:i/>
          <w:vertAlign w:val="subscript"/>
        </w:rPr>
        <w:t>i</w:t>
      </w:r>
      <w:proofErr w:type="spellEnd"/>
      <w:r>
        <w:rPr>
          <w:rFonts w:ascii="Times New Roman" w:hAnsi="Times New Roman"/>
        </w:rPr>
        <w:t xml:space="preserve"> is defined by Equation 6:</w:t>
      </w:r>
    </w:p>
    <w:p w14:paraId="1BEDDC94" w14:textId="77777777" w:rsidR="00934C49" w:rsidRPr="00C946B0" w:rsidRDefault="00934C49" w:rsidP="00934C49">
      <w:pPr>
        <w:rPr>
          <w:rFonts w:ascii="Times New Roman" w:hAnsi="Times New Roman"/>
          <w:b/>
        </w:rPr>
      </w:pPr>
      <w:r w:rsidRPr="00C946B0">
        <w:rPr>
          <w:rFonts w:ascii="Times New Roman" w:hAnsi="Times New Roman"/>
          <w:b/>
        </w:rPr>
        <w:t>Equation 5</w:t>
      </w:r>
    </w:p>
    <w:p w14:paraId="0F33CBBF" w14:textId="77777777" w:rsidR="00934C49" w:rsidRPr="00C5113A" w:rsidRDefault="00F60343" w:rsidP="00934C49">
      <w:pPr>
        <w:jc w:val="center"/>
        <w:rPr>
          <w:rFonts w:ascii="Times New Roman" w:hAnsi="Times New Roman"/>
        </w:rPr>
      </w:pPr>
      <m:oMathPara>
        <m:oMath>
          <m:sSub>
            <m:sSubPr>
              <m:ctrlPr>
                <w:rPr>
                  <w:rFonts w:ascii="Cambria Math" w:eastAsia="Times New Roman" w:hAnsi="Cambria Math"/>
                  <w:i/>
                </w:rPr>
              </m:ctrlPr>
            </m:sSubPr>
            <m:e>
              <m:r>
                <w:rPr>
                  <w:rFonts w:ascii="Cambria Math" w:eastAsia="Times New Roman" w:hAnsi="Cambria Math"/>
                </w:rPr>
                <m:t>RMS</m:t>
              </m:r>
            </m:e>
            <m:sub>
              <m:r>
                <w:rPr>
                  <w:rFonts w:ascii="Cambria Math" w:eastAsia="Times New Roman" w:hAnsi="Cambria Math"/>
                </w:rPr>
                <m:t>bias</m:t>
              </m:r>
            </m:sub>
          </m:sSub>
          <m:r>
            <w:rPr>
              <w:rFonts w:ascii="Cambria Math" w:eastAsia="Times New Roman" w:hAnsi="Cambria Math"/>
            </w:rPr>
            <m:t xml:space="preserve">= </m:t>
          </m:r>
          <m:rad>
            <m:radPr>
              <m:degHide m:val="1"/>
              <m:ctrlPr>
                <w:rPr>
                  <w:rFonts w:ascii="Cambria Math" w:eastAsia="Times New Roman" w:hAnsi="Cambria Math"/>
                  <w:i/>
                </w:rPr>
              </m:ctrlPr>
            </m:radPr>
            <m:deg/>
            <m:e>
              <m:f>
                <m:fPr>
                  <m:ctrlPr>
                    <w:rPr>
                      <w:rFonts w:ascii="Cambria Math" w:eastAsia="Times New Roman" w:hAnsi="Cambria Math"/>
                      <w:i/>
                    </w:rPr>
                  </m:ctrlPr>
                </m:fPr>
                <m:num>
                  <m:nary>
                    <m:naryPr>
                      <m:chr m:val="∑"/>
                      <m:limLoc m:val="undOvr"/>
                      <m:subHide m:val="1"/>
                      <m:supHide m:val="1"/>
                      <m:ctrlPr>
                        <w:rPr>
                          <w:rFonts w:ascii="Cambria Math" w:eastAsia="Times New Roman" w:hAnsi="Cambria Math"/>
                          <w:i/>
                        </w:rPr>
                      </m:ctrlPr>
                    </m:naryPr>
                    <m:sub/>
                    <m:sup/>
                    <m:e>
                      <m:sSup>
                        <m:sSupPr>
                          <m:ctrlPr>
                            <w:rPr>
                              <w:rFonts w:ascii="Cambria Math" w:eastAsia="Times New Roman" w:hAnsi="Cambria Math"/>
                              <w:i/>
                            </w:rPr>
                          </m:ctrlPr>
                        </m:sSupPr>
                        <m:e>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bias</m:t>
                                  </m:r>
                                </m:e>
                                <m:sub>
                                  <m:r>
                                    <w:rPr>
                                      <w:rFonts w:ascii="Cambria Math" w:eastAsia="Times New Roman" w:hAnsi="Cambria Math"/>
                                    </w:rPr>
                                    <m:t>i</m:t>
                                  </m:r>
                                </m:sub>
                              </m:sSub>
                            </m:e>
                          </m:d>
                        </m:e>
                        <m:sup>
                          <m:r>
                            <w:rPr>
                              <w:rFonts w:ascii="Cambria Math" w:eastAsia="Times New Roman" w:hAnsi="Cambria Math"/>
                            </w:rPr>
                            <m:t>2</m:t>
                          </m:r>
                        </m:sup>
                      </m:sSup>
                    </m:e>
                  </m:nary>
                </m:num>
                <m:den>
                  <m:r>
                    <w:rPr>
                      <w:rFonts w:ascii="Cambria Math" w:eastAsia="Times New Roman" w:hAnsi="Cambria Math"/>
                    </w:rPr>
                    <m:t>n</m:t>
                  </m:r>
                </m:den>
              </m:f>
            </m:e>
          </m:rad>
        </m:oMath>
      </m:oMathPara>
    </w:p>
    <w:p w14:paraId="511C17C8" w14:textId="77777777" w:rsidR="00934C49" w:rsidRPr="00C946B0" w:rsidRDefault="00934C49" w:rsidP="00934C49">
      <w:pPr>
        <w:rPr>
          <w:rFonts w:ascii="Times New Roman" w:hAnsi="Times New Roman"/>
          <w:b/>
        </w:rPr>
      </w:pPr>
      <w:r w:rsidRPr="00C946B0">
        <w:rPr>
          <w:rFonts w:ascii="Times New Roman" w:hAnsi="Times New Roman"/>
          <w:b/>
        </w:rPr>
        <w:t>Equation 6</w:t>
      </w:r>
    </w:p>
    <w:p w14:paraId="3DC932BE" w14:textId="77777777" w:rsidR="00934C49" w:rsidRPr="00B30656" w:rsidRDefault="00F60343" w:rsidP="00934C49">
      <w:pPr>
        <w:spacing w:after="0"/>
        <w:contextualSpacing/>
        <w:rPr>
          <w:rFonts w:ascii="Times New Roman" w:hAnsi="Times New Roman"/>
        </w:rPr>
      </w:pPr>
      <m:oMathPara>
        <m:oMath>
          <m:sSub>
            <m:sSubPr>
              <m:ctrlPr>
                <w:rPr>
                  <w:rFonts w:ascii="Cambria Math" w:hAnsi="Cambria Math"/>
                  <w:i/>
                </w:rPr>
              </m:ctrlPr>
            </m:sSubPr>
            <m:e>
              <m:r>
                <w:rPr>
                  <w:rFonts w:ascii="Cambria Math" w:hAnsi="Cambria Math"/>
                </w:rPr>
                <m:t>bias</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Clab</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Cref</m:t>
              </m:r>
            </m:e>
            <m:sub>
              <m:r>
                <w:rPr>
                  <w:rFonts w:ascii="Cambria Math" w:hAnsi="Cambria Math"/>
                </w:rPr>
                <m:t>i</m:t>
              </m:r>
            </m:sub>
          </m:sSub>
        </m:oMath>
      </m:oMathPara>
    </w:p>
    <w:p w14:paraId="6AAC69C1" w14:textId="77777777" w:rsidR="00934C49" w:rsidRDefault="00934C49" w:rsidP="00934C49">
      <w:pPr>
        <w:rPr>
          <w:rFonts w:ascii="Times New Roman" w:hAnsi="Times New Roman"/>
        </w:rPr>
      </w:pPr>
    </w:p>
    <w:p w14:paraId="7361FCEF" w14:textId="77777777" w:rsidR="00934C49" w:rsidRDefault="00934C49" w:rsidP="00934C49">
      <w:pPr>
        <w:rPr>
          <w:rFonts w:ascii="Times New Roman" w:hAnsi="Times New Roman"/>
        </w:rPr>
      </w:pPr>
      <w:r>
        <w:rPr>
          <w:rFonts w:ascii="Times New Roman" w:hAnsi="Times New Roman"/>
        </w:rPr>
        <w:t>The second term in Equation 4 (</w:t>
      </w:r>
      <w:r w:rsidRPr="00C946B0">
        <w:rPr>
          <w:rFonts w:ascii="Times New Roman" w:hAnsi="Times New Roman"/>
          <w:i/>
        </w:rPr>
        <w:t>u(</w:t>
      </w:r>
      <w:proofErr w:type="spellStart"/>
      <w:r w:rsidRPr="00C946B0">
        <w:rPr>
          <w:rFonts w:ascii="Times New Roman" w:hAnsi="Times New Roman"/>
          <w:i/>
        </w:rPr>
        <w:t>Cref</w:t>
      </w:r>
      <w:proofErr w:type="spellEnd"/>
      <w:r w:rsidRPr="00C946B0">
        <w:rPr>
          <w:rFonts w:ascii="Times New Roman" w:hAnsi="Times New Roman"/>
          <w:i/>
        </w:rPr>
        <w:t>)</w:t>
      </w:r>
      <w:r>
        <w:rPr>
          <w:rFonts w:ascii="Times New Roman" w:hAnsi="Times New Roman"/>
        </w:rPr>
        <w:t>) is simply the root-mean-square of the known standard deviations of the reference materials used as check standards, either determined through long-term monitoring (for in-house standards) or provided upon purchase (for certified reference materials) as defined in Equation 7:</w:t>
      </w:r>
    </w:p>
    <w:p w14:paraId="11314547" w14:textId="77777777" w:rsidR="00934C49" w:rsidRPr="00357AC9" w:rsidRDefault="00934C49" w:rsidP="00934C49">
      <w:pPr>
        <w:rPr>
          <w:rFonts w:ascii="Times New Roman" w:hAnsi="Times New Roman"/>
          <w:b/>
        </w:rPr>
      </w:pPr>
      <w:r w:rsidRPr="00357AC9">
        <w:rPr>
          <w:rFonts w:ascii="Times New Roman" w:hAnsi="Times New Roman"/>
          <w:b/>
        </w:rPr>
        <w:t>Equation 7</w:t>
      </w:r>
    </w:p>
    <w:p w14:paraId="2A3B705D" w14:textId="77777777" w:rsidR="00934C49" w:rsidRPr="00C5113A" w:rsidRDefault="00934C49" w:rsidP="00934C49">
      <w:pPr>
        <w:jc w:val="center"/>
        <w:rPr>
          <w:rFonts w:ascii="Times New Roman" w:hAnsi="Times New Roman"/>
        </w:rPr>
      </w:pPr>
      <m:oMathPara>
        <m:oMath>
          <m:r>
            <w:rPr>
              <w:rFonts w:ascii="Cambria Math" w:eastAsia="Times New Roman" w:hAnsi="Cambria Math"/>
            </w:rPr>
            <m:t>u</m:t>
          </m:r>
          <m:d>
            <m:dPr>
              <m:ctrlPr>
                <w:rPr>
                  <w:rFonts w:ascii="Cambria Math" w:eastAsia="Times New Roman" w:hAnsi="Cambria Math"/>
                  <w:i/>
                </w:rPr>
              </m:ctrlPr>
            </m:dPr>
            <m:e>
              <m:r>
                <w:rPr>
                  <w:rFonts w:ascii="Cambria Math" w:eastAsia="Times New Roman" w:hAnsi="Cambria Math"/>
                </w:rPr>
                <m:t>Cref</m:t>
              </m:r>
            </m:e>
          </m:d>
          <m:r>
            <w:rPr>
              <w:rFonts w:ascii="Cambria Math" w:eastAsia="Times New Roman" w:hAnsi="Cambria Math"/>
            </w:rPr>
            <m:t xml:space="preserve">= </m:t>
          </m:r>
          <m:rad>
            <m:radPr>
              <m:degHide m:val="1"/>
              <m:ctrlPr>
                <w:rPr>
                  <w:rFonts w:ascii="Cambria Math" w:eastAsia="Times New Roman" w:hAnsi="Cambria Math"/>
                  <w:i/>
                </w:rPr>
              </m:ctrlPr>
            </m:radPr>
            <m:deg/>
            <m:e>
              <m:f>
                <m:fPr>
                  <m:ctrlPr>
                    <w:rPr>
                      <w:rFonts w:ascii="Cambria Math" w:eastAsia="Times New Roman" w:hAnsi="Cambria Math"/>
                      <w:i/>
                    </w:rPr>
                  </m:ctrlPr>
                </m:fPr>
                <m:num>
                  <m:nary>
                    <m:naryPr>
                      <m:chr m:val="∑"/>
                      <m:limLoc m:val="undOvr"/>
                      <m:subHide m:val="1"/>
                      <m:supHide m:val="1"/>
                      <m:ctrlPr>
                        <w:rPr>
                          <w:rFonts w:ascii="Cambria Math" w:eastAsia="Times New Roman" w:hAnsi="Cambria Math"/>
                          <w:i/>
                        </w:rPr>
                      </m:ctrlPr>
                    </m:naryPr>
                    <m:sub/>
                    <m:sup/>
                    <m:e>
                      <m:sSup>
                        <m:sSupPr>
                          <m:ctrlPr>
                            <w:rPr>
                              <w:rFonts w:ascii="Cambria Math" w:eastAsia="Times New Roman" w:hAnsi="Cambria Math"/>
                              <w:i/>
                            </w:rPr>
                          </m:ctrlPr>
                        </m:sSupPr>
                        <m:e>
                          <m:r>
                            <w:rPr>
                              <w:rFonts w:ascii="Cambria Math" w:eastAsia="Times New Roman" w:hAnsi="Cambria Math"/>
                            </w:rPr>
                            <m:t>u</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Cref</m:t>
                                  </m:r>
                                </m:e>
                                <m:sub>
                                  <m:r>
                                    <w:rPr>
                                      <w:rFonts w:ascii="Cambria Math" w:eastAsia="Times New Roman" w:hAnsi="Cambria Math"/>
                                    </w:rPr>
                                    <m:t>i</m:t>
                                  </m:r>
                                </m:sub>
                              </m:sSub>
                            </m:e>
                          </m:d>
                        </m:e>
                        <m:sup>
                          <m:r>
                            <w:rPr>
                              <w:rFonts w:ascii="Cambria Math" w:eastAsia="Times New Roman" w:hAnsi="Cambria Math"/>
                            </w:rPr>
                            <m:t>2</m:t>
                          </m:r>
                        </m:sup>
                      </m:sSup>
                    </m:e>
                  </m:nary>
                </m:num>
                <m:den>
                  <m:r>
                    <w:rPr>
                      <w:rFonts w:ascii="Cambria Math" w:eastAsia="Times New Roman" w:hAnsi="Cambria Math"/>
                    </w:rPr>
                    <m:t>n</m:t>
                  </m:r>
                </m:den>
              </m:f>
            </m:e>
          </m:rad>
        </m:oMath>
      </m:oMathPara>
    </w:p>
    <w:p w14:paraId="455262C5" w14:textId="08E417BD" w:rsidR="00934C49" w:rsidRPr="00F40092" w:rsidRDefault="00934C49" w:rsidP="00934C49">
      <w:pPr>
        <w:rPr>
          <w:rFonts w:ascii="Times New Roman" w:hAnsi="Times New Roman"/>
        </w:rPr>
      </w:pPr>
      <w:r>
        <w:rPr>
          <w:rFonts w:ascii="Times New Roman" w:hAnsi="Times New Roman"/>
        </w:rPr>
        <w:lastRenderedPageBreak/>
        <w:t xml:space="preserve">These calculations can be performed easily in a simple spreadsheet, such as in Appendix F. The sample calculations in this spreadsheet are associated with the data presented in Appendix D. </w:t>
      </w:r>
      <w:r w:rsidR="00C26344">
        <w:rPr>
          <w:rFonts w:ascii="Times New Roman" w:hAnsi="Times New Roman"/>
        </w:rPr>
        <w:t xml:space="preserve">Note that if data are </w:t>
      </w:r>
      <w:r w:rsidR="00070E6E">
        <w:rPr>
          <w:rFonts w:ascii="Times New Roman" w:hAnsi="Times New Roman"/>
        </w:rPr>
        <w:t>included</w:t>
      </w:r>
      <w:r w:rsidR="00C26344">
        <w:rPr>
          <w:rFonts w:ascii="Times New Roman" w:hAnsi="Times New Roman"/>
        </w:rPr>
        <w:t xml:space="preserve"> across multiple analytical sessions, a new column should be added for each check standard analyzed in each session. </w:t>
      </w:r>
      <w:r>
        <w:rPr>
          <w:rFonts w:ascii="Times New Roman" w:hAnsi="Times New Roman"/>
        </w:rPr>
        <w:t>The calculated standard uncertainty represents a coverage factor (</w:t>
      </w:r>
      <w:r w:rsidRPr="007F76A2">
        <w:rPr>
          <w:rFonts w:ascii="Times New Roman" w:hAnsi="Times New Roman"/>
          <w:i/>
        </w:rPr>
        <w:t>k</w:t>
      </w:r>
      <w:r>
        <w:rPr>
          <w:rFonts w:ascii="Times New Roman" w:hAnsi="Times New Roman"/>
        </w:rPr>
        <w:t xml:space="preserve">) of 1, corresponding to one standard deviation. </w:t>
      </w:r>
    </w:p>
    <w:p w14:paraId="04A4083F" w14:textId="77777777" w:rsidR="00934C49" w:rsidRDefault="00934C49" w:rsidP="00934C49">
      <w:pPr>
        <w:spacing w:after="0"/>
      </w:pPr>
      <w:r>
        <w:br w:type="page"/>
      </w:r>
    </w:p>
    <w:p w14:paraId="23DD02D9" w14:textId="77777777" w:rsidR="00934C49" w:rsidRPr="00874033" w:rsidRDefault="00934C49" w:rsidP="00934C49">
      <w:pPr>
        <w:rPr>
          <w:rFonts w:ascii="Times New Roman" w:hAnsi="Times New Roman"/>
          <w:b/>
        </w:rPr>
      </w:pPr>
      <w:r w:rsidRPr="00874033">
        <w:rPr>
          <w:rFonts w:ascii="Times New Roman" w:hAnsi="Times New Roman"/>
          <w:b/>
        </w:rPr>
        <w:lastRenderedPageBreak/>
        <w:t xml:space="preserve">References </w:t>
      </w:r>
    </w:p>
    <w:p w14:paraId="70C30DE1" w14:textId="77777777" w:rsidR="00934C49" w:rsidRPr="00357AC9" w:rsidRDefault="00934C49" w:rsidP="00934C49">
      <w:pPr>
        <w:pStyle w:val="EndNoteBibliography"/>
        <w:spacing w:after="0"/>
        <w:ind w:left="720" w:hanging="720"/>
        <w:rPr>
          <w:noProof/>
        </w:rPr>
      </w:pPr>
      <w:r>
        <w:fldChar w:fldCharType="begin"/>
      </w:r>
      <w:r>
        <w:instrText xml:space="preserve"> ADDIN EN.REFLIST </w:instrText>
      </w:r>
      <w:r>
        <w:fldChar w:fldCharType="separate"/>
      </w:r>
      <w:r w:rsidRPr="00357AC9">
        <w:rPr>
          <w:noProof/>
        </w:rPr>
        <w:t>Carter, J.F., Fry, B., 2013. Ensuring the reliability of stable isotope ratio data—beyond the principle of identical treatment. Anal. Bioanal. Chem. 405, 2799-2814.</w:t>
      </w:r>
    </w:p>
    <w:p w14:paraId="05F862C8" w14:textId="77777777" w:rsidR="00934C49" w:rsidRPr="00357AC9" w:rsidRDefault="00934C49" w:rsidP="00934C49">
      <w:pPr>
        <w:pStyle w:val="EndNoteBibliography"/>
        <w:spacing w:after="0"/>
        <w:ind w:left="720" w:hanging="720"/>
        <w:rPr>
          <w:noProof/>
        </w:rPr>
      </w:pPr>
      <w:r w:rsidRPr="00357AC9">
        <w:rPr>
          <w:noProof/>
        </w:rPr>
        <w:t>Joint Committee for Guides in Metrology, 2008. Evaluation of measurement data — Guide to the expression of uncertainty in measurement.  JCGM 100:2008. International Organization for Standardization, Geneva.</w:t>
      </w:r>
    </w:p>
    <w:p w14:paraId="24F257D1" w14:textId="77777777" w:rsidR="00934C49" w:rsidRPr="00357AC9" w:rsidRDefault="00934C49" w:rsidP="00934C49">
      <w:pPr>
        <w:pStyle w:val="EndNoteBibliography"/>
        <w:spacing w:after="0"/>
        <w:ind w:left="720" w:hanging="720"/>
        <w:rPr>
          <w:noProof/>
        </w:rPr>
      </w:pPr>
      <w:r w:rsidRPr="00357AC9">
        <w:rPr>
          <w:noProof/>
        </w:rPr>
        <w:t xml:space="preserve">Magnusson, B., Näykki, T., Hovind, H.v., Krysell, M., 2012. Handbook for Calculation of Measurement Uncertainty in Environmental Laboratories.  Nordtest Technical Report 537 ed. 3.1, </w:t>
      </w:r>
    </w:p>
    <w:p w14:paraId="001FB982" w14:textId="77777777" w:rsidR="00934C49" w:rsidRPr="00357AC9" w:rsidRDefault="00934C49" w:rsidP="00934C49">
      <w:pPr>
        <w:pStyle w:val="EndNoteBibliography"/>
        <w:spacing w:after="0"/>
        <w:ind w:left="720" w:hanging="720"/>
        <w:rPr>
          <w:noProof/>
        </w:rPr>
      </w:pPr>
      <w:r w:rsidRPr="00357AC9">
        <w:rPr>
          <w:noProof/>
        </w:rPr>
        <w:t>Menditto, A., Patriarca, M., Magnusson, B., 2007. Understanding the meaning of accuracy, trueness and precision. Accred Qual Assur 12, 45-47.</w:t>
      </w:r>
    </w:p>
    <w:p w14:paraId="5C1C55C4" w14:textId="77777777" w:rsidR="00934C49" w:rsidRPr="00357AC9" w:rsidRDefault="00934C49" w:rsidP="00934C49">
      <w:pPr>
        <w:pStyle w:val="EndNoteBibliography"/>
        <w:ind w:left="720" w:hanging="720"/>
        <w:rPr>
          <w:noProof/>
        </w:rPr>
      </w:pPr>
      <w:r w:rsidRPr="00357AC9">
        <w:rPr>
          <w:noProof/>
        </w:rPr>
        <w:t>Skrzypek, G., 2013. Normalization procedures and reference material selection in stable HCNOS isotope analyses: an overview. Anal. Bioanal. Chem. 405, 2815-2823.</w:t>
      </w:r>
    </w:p>
    <w:p w14:paraId="46131A1E" w14:textId="77777777" w:rsidR="00934C49" w:rsidRDefault="00934C49" w:rsidP="00934C49">
      <w:r>
        <w:fldChar w:fldCharType="end"/>
      </w:r>
    </w:p>
    <w:p w14:paraId="65DDD7EC" w14:textId="77777777" w:rsidR="0026381D" w:rsidRDefault="0026381D"/>
    <w:sectPr w:rsidR="0026381D" w:rsidSect="00F358BF">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599E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 Metcalfe">
    <w15:presenceInfo w15:providerId="Windows Live" w15:userId="a25ea9ef3e9e7a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49"/>
    <w:rsid w:val="00070E6E"/>
    <w:rsid w:val="0026381D"/>
    <w:rsid w:val="00277052"/>
    <w:rsid w:val="007F0647"/>
    <w:rsid w:val="0085355A"/>
    <w:rsid w:val="008F3B0A"/>
    <w:rsid w:val="00934C49"/>
    <w:rsid w:val="00AD2E2E"/>
    <w:rsid w:val="00B07081"/>
    <w:rsid w:val="00C26344"/>
    <w:rsid w:val="00ED7207"/>
    <w:rsid w:val="00F358BF"/>
    <w:rsid w:val="00F418EE"/>
    <w:rsid w:val="00F60343"/>
    <w:rsid w:val="00FF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21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49"/>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34C49"/>
    <w:rPr>
      <w:b/>
      <w:bCs/>
      <w:color w:val="4F81BD" w:themeColor="accent1"/>
      <w:sz w:val="18"/>
      <w:szCs w:val="18"/>
    </w:rPr>
  </w:style>
  <w:style w:type="paragraph" w:customStyle="1" w:styleId="EndNoteBibliography">
    <w:name w:val="EndNote Bibliography"/>
    <w:basedOn w:val="Normal"/>
    <w:rsid w:val="00934C49"/>
    <w:rPr>
      <w:rFonts w:ascii="Times New Roman" w:hAnsi="Times New Roman"/>
    </w:rPr>
  </w:style>
  <w:style w:type="paragraph" w:styleId="BalloonText">
    <w:name w:val="Balloon Text"/>
    <w:basedOn w:val="Normal"/>
    <w:link w:val="BalloonTextChar"/>
    <w:uiPriority w:val="99"/>
    <w:semiHidden/>
    <w:unhideWhenUsed/>
    <w:rsid w:val="00934C4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C49"/>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85355A"/>
    <w:rPr>
      <w:sz w:val="16"/>
      <w:szCs w:val="16"/>
    </w:rPr>
  </w:style>
  <w:style w:type="paragraph" w:styleId="CommentText">
    <w:name w:val="annotation text"/>
    <w:basedOn w:val="Normal"/>
    <w:link w:val="CommentTextChar"/>
    <w:uiPriority w:val="99"/>
    <w:semiHidden/>
    <w:unhideWhenUsed/>
    <w:rsid w:val="0085355A"/>
    <w:rPr>
      <w:sz w:val="20"/>
      <w:szCs w:val="20"/>
    </w:rPr>
  </w:style>
  <w:style w:type="character" w:customStyle="1" w:styleId="CommentTextChar">
    <w:name w:val="Comment Text Char"/>
    <w:basedOn w:val="DefaultParagraphFont"/>
    <w:link w:val="CommentText"/>
    <w:uiPriority w:val="99"/>
    <w:semiHidden/>
    <w:rsid w:val="0085355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5355A"/>
    <w:rPr>
      <w:b/>
      <w:bCs/>
    </w:rPr>
  </w:style>
  <w:style w:type="character" w:customStyle="1" w:styleId="CommentSubjectChar">
    <w:name w:val="Comment Subject Char"/>
    <w:basedOn w:val="CommentTextChar"/>
    <w:link w:val="CommentSubject"/>
    <w:uiPriority w:val="99"/>
    <w:semiHidden/>
    <w:rsid w:val="0085355A"/>
    <w:rPr>
      <w:rFonts w:ascii="Cambria" w:eastAsia="Cambria" w:hAnsi="Cambri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49"/>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34C49"/>
    <w:rPr>
      <w:b/>
      <w:bCs/>
      <w:color w:val="4F81BD" w:themeColor="accent1"/>
      <w:sz w:val="18"/>
      <w:szCs w:val="18"/>
    </w:rPr>
  </w:style>
  <w:style w:type="paragraph" w:customStyle="1" w:styleId="EndNoteBibliography">
    <w:name w:val="EndNote Bibliography"/>
    <w:basedOn w:val="Normal"/>
    <w:rsid w:val="00934C49"/>
    <w:rPr>
      <w:rFonts w:ascii="Times New Roman" w:hAnsi="Times New Roman"/>
    </w:rPr>
  </w:style>
  <w:style w:type="paragraph" w:styleId="BalloonText">
    <w:name w:val="Balloon Text"/>
    <w:basedOn w:val="Normal"/>
    <w:link w:val="BalloonTextChar"/>
    <w:uiPriority w:val="99"/>
    <w:semiHidden/>
    <w:unhideWhenUsed/>
    <w:rsid w:val="00934C4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C49"/>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85355A"/>
    <w:rPr>
      <w:sz w:val="16"/>
      <w:szCs w:val="16"/>
    </w:rPr>
  </w:style>
  <w:style w:type="paragraph" w:styleId="CommentText">
    <w:name w:val="annotation text"/>
    <w:basedOn w:val="Normal"/>
    <w:link w:val="CommentTextChar"/>
    <w:uiPriority w:val="99"/>
    <w:semiHidden/>
    <w:unhideWhenUsed/>
    <w:rsid w:val="0085355A"/>
    <w:rPr>
      <w:sz w:val="20"/>
      <w:szCs w:val="20"/>
    </w:rPr>
  </w:style>
  <w:style w:type="character" w:customStyle="1" w:styleId="CommentTextChar">
    <w:name w:val="Comment Text Char"/>
    <w:basedOn w:val="DefaultParagraphFont"/>
    <w:link w:val="CommentText"/>
    <w:uiPriority w:val="99"/>
    <w:semiHidden/>
    <w:rsid w:val="0085355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5355A"/>
    <w:rPr>
      <w:b/>
      <w:bCs/>
    </w:rPr>
  </w:style>
  <w:style w:type="character" w:customStyle="1" w:styleId="CommentSubjectChar">
    <w:name w:val="Comment Subject Char"/>
    <w:basedOn w:val="CommentTextChar"/>
    <w:link w:val="CommentSubject"/>
    <w:uiPriority w:val="99"/>
    <w:semiHidden/>
    <w:rsid w:val="0085355A"/>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2325</Words>
  <Characters>13258</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Szpak</dc:creator>
  <cp:keywords/>
  <dc:description/>
  <cp:lastModifiedBy>Paul Szpak</cp:lastModifiedBy>
  <cp:revision>7</cp:revision>
  <dcterms:created xsi:type="dcterms:W3CDTF">2017-04-18T19:08:00Z</dcterms:created>
  <dcterms:modified xsi:type="dcterms:W3CDTF">2017-04-24T16:48:00Z</dcterms:modified>
</cp:coreProperties>
</file>